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EF5" w:rsidRPr="009D2E47" w:rsidRDefault="00310EF5" w:rsidP="00A90301">
      <w:pPr>
        <w:jc w:val="center"/>
        <w:rPr>
          <w:b/>
          <w:color w:val="0000FF"/>
          <w:sz w:val="28"/>
          <w:szCs w:val="28"/>
          <w:u w:val="single"/>
        </w:rPr>
      </w:pPr>
      <w:r w:rsidRPr="009D2E47">
        <w:rPr>
          <w:b/>
          <w:color w:val="0000FF"/>
          <w:sz w:val="28"/>
          <w:szCs w:val="28"/>
          <w:u w:val="single"/>
        </w:rPr>
        <w:t>Characteristics of Professional Learning Communities</w:t>
      </w:r>
    </w:p>
    <w:p w:rsidR="00310EF5" w:rsidRPr="006D2ADC" w:rsidRDefault="00310EF5" w:rsidP="00310EF5">
      <w:pPr>
        <w:rPr>
          <w:b/>
          <w:color w:val="0000FF"/>
          <w:u w:val="single"/>
        </w:rPr>
      </w:pPr>
    </w:p>
    <w:tbl>
      <w:tblPr>
        <w:tblpPr w:leftFromText="180" w:rightFromText="180" w:vertAnchor="page" w:horzAnchor="page" w:tblpX="1729" w:tblpY="2521"/>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5850"/>
      </w:tblGrid>
      <w:tr w:rsidR="00310EF5" w:rsidRPr="006D2ADC" w:rsidTr="00310EF5">
        <w:tc>
          <w:tcPr>
            <w:tcW w:w="3528" w:type="dxa"/>
            <w:shd w:val="clear" w:color="auto" w:fill="FFC000"/>
          </w:tcPr>
          <w:p w:rsidR="00310EF5" w:rsidRPr="006D2ADC" w:rsidRDefault="00310EF5" w:rsidP="00746D7E">
            <w:pPr>
              <w:jc w:val="center"/>
              <w:rPr>
                <w:b/>
              </w:rPr>
            </w:pPr>
          </w:p>
          <w:p w:rsidR="00310EF5" w:rsidRPr="006D2ADC" w:rsidRDefault="00310EF5" w:rsidP="00746D7E">
            <w:pPr>
              <w:jc w:val="center"/>
            </w:pPr>
          </w:p>
          <w:p w:rsidR="00310EF5" w:rsidRPr="006D2ADC" w:rsidRDefault="00310EF5" w:rsidP="00310EF5">
            <w:pPr>
              <w:jc w:val="center"/>
              <w:rPr>
                <w:b/>
              </w:rPr>
            </w:pPr>
            <w:r w:rsidRPr="006D2ADC">
              <w:rPr>
                <w:rFonts w:cs="Helvetica"/>
              </w:rPr>
              <w:t>Shared vision and values</w:t>
            </w:r>
          </w:p>
        </w:tc>
        <w:tc>
          <w:tcPr>
            <w:tcW w:w="5850" w:type="dxa"/>
            <w:shd w:val="clear" w:color="auto" w:fill="FFFF00"/>
          </w:tcPr>
          <w:p w:rsidR="00310EF5" w:rsidRPr="006D2ADC" w:rsidRDefault="00310EF5" w:rsidP="00746D7E">
            <w:pPr>
              <w:jc w:val="center"/>
              <w:rPr>
                <w:b/>
              </w:rPr>
            </w:pPr>
          </w:p>
          <w:p w:rsidR="00310EF5" w:rsidRPr="006D2ADC" w:rsidRDefault="00310EF5" w:rsidP="00746D7E">
            <w:pPr>
              <w:jc w:val="center"/>
              <w:rPr>
                <w:i/>
              </w:rPr>
            </w:pPr>
          </w:p>
          <w:p w:rsidR="00310EF5" w:rsidRPr="006D2ADC" w:rsidRDefault="00310EF5" w:rsidP="00310EF5">
            <w:pPr>
              <w:widowControl w:val="0"/>
              <w:autoSpaceDE w:val="0"/>
              <w:autoSpaceDN w:val="0"/>
              <w:adjustRightInd w:val="0"/>
              <w:spacing w:after="100"/>
              <w:ind w:left="720"/>
              <w:rPr>
                <w:rFonts w:cs="Helvetica"/>
              </w:rPr>
            </w:pPr>
            <w:r w:rsidRPr="006D2ADC">
              <w:rPr>
                <w:rFonts w:cs="Helvetica"/>
              </w:rPr>
              <w:t>Collective commitment of school and district staff, which is expressed in day-to-day practice across teams</w:t>
            </w:r>
          </w:p>
          <w:p w:rsidR="00310EF5" w:rsidRPr="006D2ADC" w:rsidRDefault="00310EF5" w:rsidP="00746D7E">
            <w:pPr>
              <w:jc w:val="center"/>
              <w:rPr>
                <w:i/>
              </w:rPr>
            </w:pPr>
          </w:p>
        </w:tc>
      </w:tr>
      <w:tr w:rsidR="00310EF5" w:rsidRPr="006D2ADC" w:rsidTr="00310EF5">
        <w:tc>
          <w:tcPr>
            <w:tcW w:w="3528" w:type="dxa"/>
            <w:shd w:val="clear" w:color="auto" w:fill="FFC000"/>
          </w:tcPr>
          <w:p w:rsidR="00310EF5" w:rsidRPr="006D2ADC" w:rsidRDefault="00310EF5" w:rsidP="00746D7E">
            <w:pPr>
              <w:jc w:val="center"/>
              <w:rPr>
                <w:rFonts w:cs="Helvetica"/>
              </w:rPr>
            </w:pPr>
          </w:p>
          <w:p w:rsidR="00310EF5" w:rsidRPr="006D2ADC" w:rsidRDefault="00310EF5" w:rsidP="00310EF5">
            <w:pPr>
              <w:jc w:val="center"/>
              <w:rPr>
                <w:b/>
              </w:rPr>
            </w:pPr>
            <w:r w:rsidRPr="006D2ADC">
              <w:rPr>
                <w:rFonts w:cs="Helvetica"/>
              </w:rPr>
              <w:t>Working teams with active communication structures</w:t>
            </w:r>
          </w:p>
          <w:p w:rsidR="00310EF5" w:rsidRPr="006D2ADC" w:rsidRDefault="00310EF5" w:rsidP="00746D7E">
            <w:pPr>
              <w:jc w:val="center"/>
              <w:rPr>
                <w:b/>
              </w:rPr>
            </w:pPr>
          </w:p>
        </w:tc>
        <w:tc>
          <w:tcPr>
            <w:tcW w:w="5850" w:type="dxa"/>
            <w:shd w:val="clear" w:color="auto" w:fill="FFFF00"/>
          </w:tcPr>
          <w:p w:rsidR="00310EF5" w:rsidRPr="006D2ADC" w:rsidRDefault="00310EF5" w:rsidP="00746D7E">
            <w:pPr>
              <w:rPr>
                <w:b/>
              </w:rPr>
            </w:pPr>
          </w:p>
          <w:p w:rsidR="00310EF5" w:rsidRPr="006D2ADC" w:rsidRDefault="00310EF5" w:rsidP="00746D7E">
            <w:pPr>
              <w:widowControl w:val="0"/>
              <w:autoSpaceDE w:val="0"/>
              <w:autoSpaceDN w:val="0"/>
              <w:adjustRightInd w:val="0"/>
              <w:spacing w:after="100"/>
              <w:ind w:left="720"/>
              <w:rPr>
                <w:rFonts w:cs="Helvetica"/>
              </w:rPr>
            </w:pPr>
            <w:r w:rsidRPr="006D2ADC">
              <w:rPr>
                <w:rFonts w:cs="Helvetica"/>
              </w:rPr>
              <w:t>Collaboration to achieve common goals</w:t>
            </w:r>
          </w:p>
          <w:p w:rsidR="00310EF5" w:rsidRPr="006D2ADC" w:rsidRDefault="00310EF5" w:rsidP="00746D7E">
            <w:pPr>
              <w:jc w:val="center"/>
              <w:rPr>
                <w:b/>
              </w:rPr>
            </w:pPr>
          </w:p>
        </w:tc>
      </w:tr>
      <w:tr w:rsidR="00310EF5" w:rsidRPr="006D2ADC" w:rsidTr="00310EF5">
        <w:tc>
          <w:tcPr>
            <w:tcW w:w="3528" w:type="dxa"/>
            <w:tcBorders>
              <w:top w:val="single" w:sz="4" w:space="0" w:color="auto"/>
              <w:left w:val="single" w:sz="4" w:space="0" w:color="auto"/>
              <w:bottom w:val="single" w:sz="4" w:space="0" w:color="auto"/>
              <w:right w:val="single" w:sz="4" w:space="0" w:color="auto"/>
            </w:tcBorders>
            <w:shd w:val="clear" w:color="auto" w:fill="FFC000"/>
          </w:tcPr>
          <w:p w:rsidR="00310EF5" w:rsidRPr="006D2ADC" w:rsidRDefault="00310EF5" w:rsidP="00746D7E">
            <w:pPr>
              <w:jc w:val="center"/>
              <w:rPr>
                <w:rFonts w:cs="Helvetica"/>
              </w:rPr>
            </w:pPr>
          </w:p>
          <w:p w:rsidR="00310EF5" w:rsidRPr="006D2ADC" w:rsidRDefault="00310EF5" w:rsidP="00310EF5">
            <w:pPr>
              <w:jc w:val="center"/>
              <w:rPr>
                <w:rFonts w:cs="Helvetica"/>
              </w:rPr>
            </w:pPr>
            <w:r w:rsidRPr="006D2ADC">
              <w:rPr>
                <w:rFonts w:cs="Helvetica"/>
              </w:rPr>
              <w:t>A culture of actively seeking solutions</w:t>
            </w:r>
          </w:p>
          <w:p w:rsidR="00310EF5" w:rsidRPr="006D2ADC" w:rsidRDefault="00310EF5" w:rsidP="00746D7E">
            <w:pPr>
              <w:jc w:val="center"/>
              <w:rPr>
                <w:b/>
              </w:rPr>
            </w:pPr>
          </w:p>
        </w:tc>
        <w:tc>
          <w:tcPr>
            <w:tcW w:w="5850" w:type="dxa"/>
            <w:tcBorders>
              <w:top w:val="single" w:sz="4" w:space="0" w:color="auto"/>
              <w:left w:val="single" w:sz="4" w:space="0" w:color="auto"/>
              <w:bottom w:val="single" w:sz="4" w:space="0" w:color="auto"/>
              <w:right w:val="single" w:sz="4" w:space="0" w:color="auto"/>
            </w:tcBorders>
            <w:shd w:val="clear" w:color="auto" w:fill="FFFF00"/>
          </w:tcPr>
          <w:p w:rsidR="00310EF5" w:rsidRDefault="00310EF5" w:rsidP="00746D7E">
            <w:pPr>
              <w:ind w:left="720"/>
              <w:rPr>
                <w:rFonts w:cs="Helvetica"/>
              </w:rPr>
            </w:pPr>
          </w:p>
          <w:p w:rsidR="00310EF5" w:rsidRPr="006D2ADC" w:rsidRDefault="00310EF5" w:rsidP="00746D7E">
            <w:pPr>
              <w:ind w:left="720"/>
              <w:rPr>
                <w:b/>
              </w:rPr>
            </w:pPr>
            <w:r w:rsidRPr="006D2ADC">
              <w:rPr>
                <w:rFonts w:cs="Helvetica"/>
              </w:rPr>
              <w:t>Openness to new ideas</w:t>
            </w:r>
          </w:p>
        </w:tc>
      </w:tr>
      <w:tr w:rsidR="00310EF5" w:rsidRPr="006D2ADC" w:rsidTr="00310EF5">
        <w:tc>
          <w:tcPr>
            <w:tcW w:w="3528" w:type="dxa"/>
            <w:tcBorders>
              <w:top w:val="single" w:sz="4" w:space="0" w:color="auto"/>
              <w:left w:val="single" w:sz="4" w:space="0" w:color="auto"/>
              <w:bottom w:val="single" w:sz="4" w:space="0" w:color="auto"/>
              <w:right w:val="single" w:sz="4" w:space="0" w:color="auto"/>
            </w:tcBorders>
            <w:shd w:val="clear" w:color="auto" w:fill="FFC000"/>
          </w:tcPr>
          <w:p w:rsidR="00310EF5" w:rsidRPr="006D2ADC" w:rsidRDefault="00310EF5" w:rsidP="00746D7E">
            <w:pPr>
              <w:jc w:val="center"/>
            </w:pPr>
          </w:p>
          <w:p w:rsidR="00310EF5" w:rsidRPr="00310EF5" w:rsidRDefault="00310EF5" w:rsidP="00310EF5">
            <w:pPr>
              <w:jc w:val="center"/>
              <w:rPr>
                <w:rFonts w:cs="Helvetica"/>
              </w:rPr>
            </w:pPr>
            <w:r w:rsidRPr="00310EF5">
              <w:rPr>
                <w:rFonts w:cs="Helvetica"/>
              </w:rPr>
              <w:t>Norms of collegiality</w:t>
            </w:r>
          </w:p>
          <w:p w:rsidR="00310EF5" w:rsidRPr="006D2ADC" w:rsidRDefault="00310EF5" w:rsidP="00746D7E">
            <w:pPr>
              <w:jc w:val="center"/>
            </w:pPr>
          </w:p>
        </w:tc>
        <w:tc>
          <w:tcPr>
            <w:tcW w:w="5850" w:type="dxa"/>
            <w:tcBorders>
              <w:top w:val="single" w:sz="4" w:space="0" w:color="auto"/>
              <w:left w:val="single" w:sz="4" w:space="0" w:color="auto"/>
              <w:bottom w:val="single" w:sz="4" w:space="0" w:color="auto"/>
              <w:right w:val="single" w:sz="4" w:space="0" w:color="auto"/>
            </w:tcBorders>
            <w:shd w:val="clear" w:color="auto" w:fill="FFFF00"/>
          </w:tcPr>
          <w:p w:rsidR="00310EF5" w:rsidRPr="006D2ADC" w:rsidRDefault="00310EF5" w:rsidP="00746D7E">
            <w:pPr>
              <w:ind w:left="720"/>
            </w:pPr>
          </w:p>
          <w:p w:rsidR="00310EF5" w:rsidRPr="006D2ADC" w:rsidRDefault="00310EF5" w:rsidP="00746D7E">
            <w:pPr>
              <w:ind w:left="720"/>
            </w:pPr>
            <w:r w:rsidRPr="006D2ADC">
              <w:t>Allowing trust needed for effective discussion, sharing and problem-solving</w:t>
            </w:r>
          </w:p>
          <w:p w:rsidR="00310EF5" w:rsidRPr="006D2ADC" w:rsidRDefault="00310EF5" w:rsidP="00746D7E">
            <w:pPr>
              <w:ind w:left="720"/>
            </w:pPr>
          </w:p>
        </w:tc>
      </w:tr>
      <w:tr w:rsidR="00310EF5" w:rsidRPr="006D2ADC" w:rsidTr="00310EF5">
        <w:tc>
          <w:tcPr>
            <w:tcW w:w="3528" w:type="dxa"/>
            <w:tcBorders>
              <w:top w:val="single" w:sz="4" w:space="0" w:color="auto"/>
              <w:left w:val="single" w:sz="4" w:space="0" w:color="auto"/>
              <w:bottom w:val="single" w:sz="4" w:space="0" w:color="auto"/>
              <w:right w:val="single" w:sz="4" w:space="0" w:color="auto"/>
            </w:tcBorders>
            <w:shd w:val="clear" w:color="auto" w:fill="FFC000"/>
          </w:tcPr>
          <w:p w:rsidR="00310EF5" w:rsidRDefault="00310EF5" w:rsidP="00310EF5">
            <w:pPr>
              <w:jc w:val="center"/>
              <w:rPr>
                <w:rFonts w:cs="Helvetica"/>
              </w:rPr>
            </w:pPr>
          </w:p>
          <w:p w:rsidR="00310EF5" w:rsidRDefault="00310EF5" w:rsidP="00310EF5">
            <w:pPr>
              <w:jc w:val="center"/>
              <w:rPr>
                <w:rFonts w:cs="Helvetica"/>
              </w:rPr>
            </w:pPr>
          </w:p>
          <w:p w:rsidR="00310EF5" w:rsidRPr="006D2ADC" w:rsidRDefault="00310EF5" w:rsidP="00310EF5">
            <w:pPr>
              <w:jc w:val="center"/>
              <w:rPr>
                <w:rFonts w:cs="Helvetica"/>
              </w:rPr>
            </w:pPr>
            <w:r>
              <w:rPr>
                <w:rFonts w:cs="Helvetica"/>
              </w:rPr>
              <w:t xml:space="preserve"> </w:t>
            </w:r>
            <w:r w:rsidRPr="006D2ADC">
              <w:rPr>
                <w:rFonts w:cs="Helvetica"/>
              </w:rPr>
              <w:t>Reflection</w:t>
            </w:r>
          </w:p>
        </w:tc>
        <w:tc>
          <w:tcPr>
            <w:tcW w:w="5850" w:type="dxa"/>
            <w:tcBorders>
              <w:top w:val="single" w:sz="4" w:space="0" w:color="auto"/>
              <w:left w:val="single" w:sz="4" w:space="0" w:color="auto"/>
              <w:bottom w:val="single" w:sz="4" w:space="0" w:color="auto"/>
              <w:right w:val="single" w:sz="4" w:space="0" w:color="auto"/>
            </w:tcBorders>
            <w:shd w:val="clear" w:color="auto" w:fill="FFFF00"/>
          </w:tcPr>
          <w:p w:rsidR="00310EF5" w:rsidRDefault="00310EF5" w:rsidP="00746D7E">
            <w:pPr>
              <w:widowControl w:val="0"/>
              <w:autoSpaceDE w:val="0"/>
              <w:autoSpaceDN w:val="0"/>
              <w:adjustRightInd w:val="0"/>
              <w:spacing w:after="100"/>
              <w:ind w:left="720"/>
              <w:rPr>
                <w:rFonts w:cs="Helvetica"/>
              </w:rPr>
            </w:pPr>
          </w:p>
          <w:p w:rsidR="00310EF5" w:rsidRPr="006D2ADC" w:rsidRDefault="00310EF5" w:rsidP="00746D7E">
            <w:pPr>
              <w:widowControl w:val="0"/>
              <w:autoSpaceDE w:val="0"/>
              <w:autoSpaceDN w:val="0"/>
              <w:adjustRightInd w:val="0"/>
              <w:spacing w:after="100"/>
              <w:ind w:left="720"/>
              <w:rPr>
                <w:rFonts w:cs="Helvetica"/>
              </w:rPr>
            </w:pPr>
            <w:r w:rsidRPr="006D2ADC">
              <w:rPr>
                <w:rFonts w:cs="Helvetica"/>
              </w:rPr>
              <w:t>Allowing for collaborative process to study the operation and impact of actions taken.</w:t>
            </w:r>
          </w:p>
          <w:p w:rsidR="00310EF5" w:rsidRPr="006D2ADC" w:rsidRDefault="00310EF5" w:rsidP="00746D7E">
            <w:pPr>
              <w:widowControl w:val="0"/>
              <w:autoSpaceDE w:val="0"/>
              <w:autoSpaceDN w:val="0"/>
              <w:adjustRightInd w:val="0"/>
              <w:spacing w:after="100"/>
              <w:ind w:left="720"/>
              <w:rPr>
                <w:rFonts w:cs="Helvetica"/>
              </w:rPr>
            </w:pPr>
          </w:p>
        </w:tc>
      </w:tr>
      <w:tr w:rsidR="00310EF5" w:rsidRPr="006D2ADC" w:rsidTr="00310EF5">
        <w:trPr>
          <w:trHeight w:val="1147"/>
        </w:trPr>
        <w:tc>
          <w:tcPr>
            <w:tcW w:w="3528" w:type="dxa"/>
            <w:tcBorders>
              <w:top w:val="single" w:sz="4" w:space="0" w:color="auto"/>
              <w:left w:val="single" w:sz="4" w:space="0" w:color="auto"/>
              <w:bottom w:val="single" w:sz="4" w:space="0" w:color="auto"/>
              <w:right w:val="single" w:sz="4" w:space="0" w:color="auto"/>
            </w:tcBorders>
            <w:shd w:val="clear" w:color="auto" w:fill="FFC000"/>
          </w:tcPr>
          <w:p w:rsidR="00310EF5" w:rsidRPr="006D2ADC" w:rsidRDefault="00310EF5" w:rsidP="00746D7E">
            <w:pPr>
              <w:jc w:val="center"/>
              <w:rPr>
                <w:rFonts w:cs="Helvetica"/>
              </w:rPr>
            </w:pPr>
          </w:p>
          <w:p w:rsidR="00310EF5" w:rsidRPr="006D2ADC" w:rsidRDefault="00310EF5" w:rsidP="00310EF5">
            <w:pPr>
              <w:jc w:val="center"/>
              <w:rPr>
                <w:rFonts w:cs="Helvetica"/>
              </w:rPr>
            </w:pPr>
            <w:r w:rsidRPr="006D2ADC">
              <w:rPr>
                <w:rFonts w:cs="Helvetica"/>
              </w:rPr>
              <w:t>Questioning of the status quo</w:t>
            </w:r>
          </w:p>
        </w:tc>
        <w:tc>
          <w:tcPr>
            <w:tcW w:w="5850" w:type="dxa"/>
            <w:tcBorders>
              <w:top w:val="single" w:sz="4" w:space="0" w:color="auto"/>
              <w:left w:val="single" w:sz="4" w:space="0" w:color="auto"/>
              <w:bottom w:val="single" w:sz="4" w:space="0" w:color="auto"/>
              <w:right w:val="single" w:sz="4" w:space="0" w:color="auto"/>
            </w:tcBorders>
            <w:shd w:val="clear" w:color="auto" w:fill="FFFF00"/>
          </w:tcPr>
          <w:p w:rsidR="00310EF5" w:rsidRPr="006D2ADC" w:rsidRDefault="00310EF5" w:rsidP="00746D7E">
            <w:pPr>
              <w:widowControl w:val="0"/>
              <w:autoSpaceDE w:val="0"/>
              <w:autoSpaceDN w:val="0"/>
              <w:adjustRightInd w:val="0"/>
              <w:spacing w:after="100"/>
              <w:rPr>
                <w:rFonts w:cs="Helvetica"/>
              </w:rPr>
            </w:pPr>
          </w:p>
          <w:p w:rsidR="00310EF5" w:rsidRPr="006D2ADC" w:rsidRDefault="00310EF5" w:rsidP="00746D7E">
            <w:pPr>
              <w:widowControl w:val="0"/>
              <w:autoSpaceDE w:val="0"/>
              <w:autoSpaceDN w:val="0"/>
              <w:adjustRightInd w:val="0"/>
              <w:spacing w:after="100"/>
              <w:ind w:left="720"/>
              <w:rPr>
                <w:rFonts w:cs="Helvetica"/>
              </w:rPr>
            </w:pPr>
            <w:r w:rsidRPr="006D2ADC">
              <w:rPr>
                <w:rFonts w:cs="Helvetica"/>
              </w:rPr>
              <w:t>Ongoing quest for improvement and professional learning</w:t>
            </w:r>
          </w:p>
        </w:tc>
      </w:tr>
      <w:tr w:rsidR="00310EF5" w:rsidRPr="006D2ADC" w:rsidTr="00310EF5">
        <w:tc>
          <w:tcPr>
            <w:tcW w:w="3528" w:type="dxa"/>
            <w:tcBorders>
              <w:top w:val="single" w:sz="4" w:space="0" w:color="auto"/>
              <w:left w:val="single" w:sz="4" w:space="0" w:color="auto"/>
              <w:bottom w:val="single" w:sz="4" w:space="0" w:color="auto"/>
              <w:right w:val="single" w:sz="4" w:space="0" w:color="auto"/>
            </w:tcBorders>
            <w:shd w:val="clear" w:color="auto" w:fill="FFC000"/>
          </w:tcPr>
          <w:p w:rsidR="00310EF5" w:rsidRPr="006D2ADC" w:rsidRDefault="00310EF5" w:rsidP="00746D7E">
            <w:pPr>
              <w:jc w:val="center"/>
              <w:rPr>
                <w:rFonts w:cs="Helvetica"/>
              </w:rPr>
            </w:pPr>
          </w:p>
          <w:p w:rsidR="00310EF5" w:rsidRPr="006D2ADC" w:rsidRDefault="00310EF5" w:rsidP="00310EF5">
            <w:pPr>
              <w:jc w:val="center"/>
              <w:rPr>
                <w:rFonts w:cs="Helvetica"/>
              </w:rPr>
            </w:pPr>
            <w:r w:rsidRPr="006D2ADC">
              <w:rPr>
                <w:rFonts w:cs="Helvetica"/>
              </w:rPr>
              <w:t>A willingness to change</w:t>
            </w:r>
          </w:p>
        </w:tc>
        <w:tc>
          <w:tcPr>
            <w:tcW w:w="5850" w:type="dxa"/>
            <w:tcBorders>
              <w:top w:val="single" w:sz="4" w:space="0" w:color="auto"/>
              <w:left w:val="single" w:sz="4" w:space="0" w:color="auto"/>
              <w:bottom w:val="single" w:sz="4" w:space="0" w:color="auto"/>
              <w:right w:val="single" w:sz="4" w:space="0" w:color="auto"/>
            </w:tcBorders>
            <w:shd w:val="clear" w:color="auto" w:fill="FFFF00"/>
          </w:tcPr>
          <w:p w:rsidR="00310EF5" w:rsidRPr="006D2ADC" w:rsidRDefault="00310EF5" w:rsidP="00746D7E">
            <w:pPr>
              <w:widowControl w:val="0"/>
              <w:autoSpaceDE w:val="0"/>
              <w:autoSpaceDN w:val="0"/>
              <w:adjustRightInd w:val="0"/>
              <w:spacing w:after="100"/>
              <w:ind w:left="720"/>
              <w:rPr>
                <w:rFonts w:cs="Helvetica"/>
              </w:rPr>
            </w:pPr>
          </w:p>
          <w:p w:rsidR="00310EF5" w:rsidRPr="006D2ADC" w:rsidRDefault="00310EF5" w:rsidP="00746D7E">
            <w:pPr>
              <w:widowControl w:val="0"/>
              <w:autoSpaceDE w:val="0"/>
              <w:autoSpaceDN w:val="0"/>
              <w:adjustRightInd w:val="0"/>
              <w:spacing w:after="100"/>
              <w:ind w:left="720"/>
              <w:rPr>
                <w:rFonts w:cs="Helvetica"/>
              </w:rPr>
            </w:pPr>
            <w:r w:rsidRPr="006D2ADC">
              <w:rPr>
                <w:rFonts w:cs="Helvetica"/>
              </w:rPr>
              <w:t>Improved practice based on reflective and collaborative use of a variety of data.</w:t>
            </w:r>
          </w:p>
          <w:p w:rsidR="00310EF5" w:rsidRPr="006D2ADC" w:rsidRDefault="00310EF5" w:rsidP="00746D7E">
            <w:pPr>
              <w:widowControl w:val="0"/>
              <w:autoSpaceDE w:val="0"/>
              <w:autoSpaceDN w:val="0"/>
              <w:adjustRightInd w:val="0"/>
              <w:spacing w:after="100"/>
              <w:ind w:left="720"/>
              <w:rPr>
                <w:rFonts w:cs="Helvetica"/>
              </w:rPr>
            </w:pPr>
          </w:p>
        </w:tc>
      </w:tr>
      <w:tr w:rsidR="00310EF5" w:rsidRPr="006D2ADC" w:rsidTr="00310EF5">
        <w:tc>
          <w:tcPr>
            <w:tcW w:w="3528" w:type="dxa"/>
            <w:tcBorders>
              <w:top w:val="single" w:sz="4" w:space="0" w:color="auto"/>
              <w:left w:val="single" w:sz="4" w:space="0" w:color="auto"/>
              <w:bottom w:val="single" w:sz="4" w:space="0" w:color="auto"/>
              <w:right w:val="single" w:sz="4" w:space="0" w:color="auto"/>
            </w:tcBorders>
            <w:shd w:val="clear" w:color="auto" w:fill="FFC000"/>
          </w:tcPr>
          <w:p w:rsidR="00310EF5" w:rsidRDefault="00310EF5" w:rsidP="00310EF5">
            <w:pPr>
              <w:jc w:val="center"/>
              <w:rPr>
                <w:rFonts w:cs="Helvetica"/>
              </w:rPr>
            </w:pPr>
          </w:p>
          <w:p w:rsidR="00310EF5" w:rsidRPr="006D2ADC" w:rsidRDefault="00310EF5" w:rsidP="00310EF5">
            <w:pPr>
              <w:jc w:val="center"/>
              <w:rPr>
                <w:rFonts w:cs="Helvetica"/>
              </w:rPr>
            </w:pPr>
            <w:r>
              <w:rPr>
                <w:rFonts w:cs="Helvetica"/>
              </w:rPr>
              <w:t>A culture of accountability</w:t>
            </w:r>
          </w:p>
        </w:tc>
        <w:tc>
          <w:tcPr>
            <w:tcW w:w="5850" w:type="dxa"/>
            <w:tcBorders>
              <w:top w:val="single" w:sz="4" w:space="0" w:color="auto"/>
              <w:left w:val="single" w:sz="4" w:space="0" w:color="auto"/>
              <w:bottom w:val="single" w:sz="4" w:space="0" w:color="auto"/>
              <w:right w:val="single" w:sz="4" w:space="0" w:color="auto"/>
            </w:tcBorders>
            <w:shd w:val="clear" w:color="auto" w:fill="FFFF00"/>
          </w:tcPr>
          <w:p w:rsidR="00310EF5" w:rsidRDefault="00310EF5" w:rsidP="00746D7E">
            <w:pPr>
              <w:widowControl w:val="0"/>
              <w:autoSpaceDE w:val="0"/>
              <w:autoSpaceDN w:val="0"/>
              <w:adjustRightInd w:val="0"/>
              <w:spacing w:after="100"/>
              <w:ind w:left="720"/>
              <w:rPr>
                <w:rFonts w:cs="Helvetica"/>
              </w:rPr>
            </w:pPr>
          </w:p>
          <w:p w:rsidR="00310EF5" w:rsidRDefault="00310EF5" w:rsidP="00746D7E">
            <w:pPr>
              <w:widowControl w:val="0"/>
              <w:autoSpaceDE w:val="0"/>
              <w:autoSpaceDN w:val="0"/>
              <w:adjustRightInd w:val="0"/>
              <w:spacing w:after="100"/>
              <w:ind w:left="720"/>
              <w:rPr>
                <w:rFonts w:cs="Helvetica"/>
              </w:rPr>
            </w:pPr>
            <w:r>
              <w:rPr>
                <w:rFonts w:cs="Helvetica"/>
              </w:rPr>
              <w:t>Team goals, decisions, and who’s responsible are recorded and tracked</w:t>
            </w:r>
          </w:p>
          <w:p w:rsidR="00310EF5" w:rsidRPr="006D2ADC" w:rsidRDefault="00310EF5" w:rsidP="00746D7E">
            <w:pPr>
              <w:widowControl w:val="0"/>
              <w:autoSpaceDE w:val="0"/>
              <w:autoSpaceDN w:val="0"/>
              <w:adjustRightInd w:val="0"/>
              <w:spacing w:after="100"/>
              <w:ind w:left="720"/>
              <w:rPr>
                <w:rFonts w:cs="Helvetica"/>
              </w:rPr>
            </w:pPr>
          </w:p>
        </w:tc>
      </w:tr>
    </w:tbl>
    <w:p w:rsidR="00310EF5" w:rsidRPr="006D2ADC" w:rsidRDefault="00310EF5" w:rsidP="00310EF5"/>
    <w:p w:rsidR="00310EF5" w:rsidRDefault="00310EF5" w:rsidP="00310EF5"/>
    <w:p w:rsidR="00310EF5" w:rsidRDefault="00310EF5" w:rsidP="00310EF5"/>
    <w:p w:rsidR="00310EF5" w:rsidRDefault="00310EF5" w:rsidP="00310EF5"/>
    <w:p w:rsidR="00310EF5" w:rsidRDefault="00310EF5">
      <w:r>
        <w:br w:type="page"/>
      </w:r>
    </w:p>
    <w:p w:rsidR="00310EF5" w:rsidRPr="00801A93" w:rsidRDefault="00310EF5" w:rsidP="00A90301">
      <w:pPr>
        <w:jc w:val="center"/>
        <w:rPr>
          <w:b/>
          <w:color w:val="0000FF"/>
          <w:sz w:val="28"/>
          <w:szCs w:val="28"/>
          <w:u w:val="single"/>
        </w:rPr>
      </w:pPr>
      <w:r w:rsidRPr="00801A93">
        <w:rPr>
          <w:b/>
          <w:color w:val="0000FF"/>
          <w:sz w:val="28"/>
          <w:szCs w:val="28"/>
          <w:u w:val="single"/>
        </w:rPr>
        <w:lastRenderedPageBreak/>
        <w:t>Necessary Ingredients to Create an Effective PLC</w:t>
      </w:r>
    </w:p>
    <w:p w:rsidR="00310EF5" w:rsidRDefault="00310EF5" w:rsidP="00310EF5">
      <w:pPr>
        <w:rPr>
          <w:rFonts w:cs="Verdana"/>
          <w:b/>
          <w:color w:val="0000FF"/>
        </w:rPr>
      </w:pPr>
    </w:p>
    <w:p w:rsidR="00310EF5" w:rsidRPr="006D2ADC" w:rsidRDefault="00310EF5" w:rsidP="00310EF5">
      <w:pPr>
        <w:rPr>
          <w:rFonts w:cs="Verdana"/>
          <w:b/>
          <w:color w:val="0000FF"/>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4A0" w:firstRow="1" w:lastRow="0" w:firstColumn="1" w:lastColumn="0" w:noHBand="0" w:noVBand="1"/>
      </w:tblPr>
      <w:tblGrid>
        <w:gridCol w:w="3510"/>
        <w:gridCol w:w="5850"/>
      </w:tblGrid>
      <w:tr w:rsidR="00310EF5" w:rsidRPr="006D2ADC" w:rsidTr="00310EF5">
        <w:trPr>
          <w:trHeight w:val="1430"/>
        </w:trPr>
        <w:tc>
          <w:tcPr>
            <w:tcW w:w="3510" w:type="dxa"/>
            <w:tcBorders>
              <w:bottom w:val="single" w:sz="4" w:space="0" w:color="auto"/>
            </w:tcBorders>
            <w:shd w:val="clear" w:color="auto" w:fill="FFC000"/>
          </w:tcPr>
          <w:p w:rsidR="00310EF5" w:rsidRPr="006D2ADC" w:rsidRDefault="00310EF5" w:rsidP="00746D7E">
            <w:pPr>
              <w:rPr>
                <w:b/>
              </w:rPr>
            </w:pPr>
          </w:p>
          <w:p w:rsidR="00310EF5" w:rsidRDefault="00310EF5" w:rsidP="00310EF5">
            <w:pPr>
              <w:jc w:val="center"/>
              <w:rPr>
                <w:rFonts w:cs="Helvetica"/>
              </w:rPr>
            </w:pPr>
          </w:p>
          <w:p w:rsidR="00310EF5" w:rsidRDefault="00310EF5" w:rsidP="00310EF5">
            <w:pPr>
              <w:jc w:val="center"/>
              <w:rPr>
                <w:rFonts w:cs="Helvetica"/>
              </w:rPr>
            </w:pPr>
            <w:r>
              <w:rPr>
                <w:rFonts w:cs="Helvetica"/>
              </w:rPr>
              <w:t>Alignment</w:t>
            </w:r>
          </w:p>
          <w:p w:rsidR="00310EF5" w:rsidRPr="00310EF5" w:rsidRDefault="00310EF5" w:rsidP="00310EF5">
            <w:pPr>
              <w:rPr>
                <w:rFonts w:cs="Helvetica"/>
              </w:rPr>
            </w:pPr>
          </w:p>
          <w:p w:rsidR="00310EF5" w:rsidRPr="00310EF5" w:rsidRDefault="00310EF5" w:rsidP="00310EF5">
            <w:pPr>
              <w:rPr>
                <w:rFonts w:cs="Helvetica"/>
              </w:rPr>
            </w:pPr>
          </w:p>
        </w:tc>
        <w:tc>
          <w:tcPr>
            <w:tcW w:w="5850" w:type="dxa"/>
            <w:shd w:val="clear" w:color="auto" w:fill="FFFF00"/>
          </w:tcPr>
          <w:p w:rsidR="00310EF5" w:rsidRPr="006D2ADC" w:rsidRDefault="00310EF5" w:rsidP="00746D7E">
            <w:pPr>
              <w:rPr>
                <w:b/>
              </w:rPr>
            </w:pPr>
          </w:p>
          <w:p w:rsidR="00310EF5" w:rsidRPr="00310EF5" w:rsidRDefault="00310EF5" w:rsidP="00310EF5">
            <w:r w:rsidRPr="006D2ADC">
              <w:t xml:space="preserve">A clearly articulated vision for our school/district that focuses on educational achievement for all students.  What does our school </w:t>
            </w:r>
            <w:r>
              <w:t>l</w:t>
            </w:r>
            <w:r w:rsidRPr="006D2ADC">
              <w:t xml:space="preserve">ook </w:t>
            </w:r>
            <w:r>
              <w:t>like? What should it look like?</w:t>
            </w:r>
          </w:p>
        </w:tc>
      </w:tr>
      <w:tr w:rsidR="00310EF5" w:rsidRPr="006D2ADC" w:rsidTr="00310EF5">
        <w:trPr>
          <w:trHeight w:val="1134"/>
        </w:trPr>
        <w:tc>
          <w:tcPr>
            <w:tcW w:w="3510" w:type="dxa"/>
            <w:tcBorders>
              <w:bottom w:val="single" w:sz="4" w:space="0" w:color="auto"/>
            </w:tcBorders>
            <w:shd w:val="clear" w:color="auto" w:fill="FFC000"/>
          </w:tcPr>
          <w:p w:rsidR="00310EF5" w:rsidRPr="006D2ADC" w:rsidRDefault="00310EF5" w:rsidP="00746D7E">
            <w:pPr>
              <w:ind w:left="720"/>
              <w:rPr>
                <w:b/>
              </w:rPr>
            </w:pPr>
          </w:p>
          <w:p w:rsidR="00310EF5" w:rsidRDefault="00310EF5" w:rsidP="00310EF5">
            <w:pPr>
              <w:jc w:val="center"/>
              <w:rPr>
                <w:rFonts w:cs="Helvetica"/>
              </w:rPr>
            </w:pPr>
          </w:p>
          <w:p w:rsidR="00310EF5" w:rsidRPr="00310EF5" w:rsidRDefault="00310EF5" w:rsidP="00310EF5">
            <w:pPr>
              <w:jc w:val="center"/>
              <w:rPr>
                <w:rFonts w:cs="Helvetica"/>
              </w:rPr>
            </w:pPr>
            <w:r w:rsidRPr="00310EF5">
              <w:rPr>
                <w:rFonts w:cs="Helvetica"/>
              </w:rPr>
              <w:t>District Support</w:t>
            </w:r>
          </w:p>
          <w:p w:rsidR="00310EF5" w:rsidRPr="006D2ADC" w:rsidRDefault="00310EF5" w:rsidP="00746D7E">
            <w:pPr>
              <w:jc w:val="right"/>
            </w:pPr>
          </w:p>
        </w:tc>
        <w:tc>
          <w:tcPr>
            <w:tcW w:w="5850" w:type="dxa"/>
            <w:shd w:val="clear" w:color="auto" w:fill="FFFF00"/>
          </w:tcPr>
          <w:p w:rsidR="00310EF5" w:rsidRPr="006D2ADC" w:rsidRDefault="00310EF5" w:rsidP="00746D7E"/>
          <w:p w:rsidR="00310EF5" w:rsidRPr="006D2ADC" w:rsidRDefault="00310EF5" w:rsidP="00746D7E">
            <w:r w:rsidRPr="006D2ADC">
              <w:t xml:space="preserve">Systematic embedding of PLC practice at the District level in both leadership and district teams. </w:t>
            </w:r>
          </w:p>
        </w:tc>
      </w:tr>
      <w:tr w:rsidR="00310EF5" w:rsidRPr="006D2ADC" w:rsidTr="00310EF5">
        <w:trPr>
          <w:trHeight w:val="1637"/>
        </w:trPr>
        <w:tc>
          <w:tcPr>
            <w:tcW w:w="3510" w:type="dxa"/>
            <w:tcBorders>
              <w:bottom w:val="single" w:sz="4" w:space="0" w:color="auto"/>
            </w:tcBorders>
            <w:shd w:val="clear" w:color="auto" w:fill="FFC000"/>
          </w:tcPr>
          <w:p w:rsidR="00310EF5" w:rsidRPr="006D2ADC" w:rsidRDefault="00310EF5" w:rsidP="00746D7E">
            <w:pPr>
              <w:jc w:val="center"/>
              <w:rPr>
                <w:b/>
              </w:rPr>
            </w:pPr>
          </w:p>
          <w:p w:rsidR="00310EF5" w:rsidRDefault="00310EF5" w:rsidP="00310EF5">
            <w:pPr>
              <w:jc w:val="center"/>
              <w:rPr>
                <w:rFonts w:cs="Helvetica"/>
              </w:rPr>
            </w:pPr>
          </w:p>
          <w:p w:rsidR="00310EF5" w:rsidRPr="00310EF5" w:rsidRDefault="00310EF5" w:rsidP="00310EF5">
            <w:pPr>
              <w:jc w:val="center"/>
              <w:rPr>
                <w:rFonts w:cs="Helvetica"/>
              </w:rPr>
            </w:pPr>
            <w:r w:rsidRPr="00310EF5">
              <w:rPr>
                <w:rFonts w:cs="Helvetica"/>
              </w:rPr>
              <w:t>Purposeful Collaboration</w:t>
            </w:r>
          </w:p>
          <w:p w:rsidR="00310EF5" w:rsidRPr="006D2ADC" w:rsidRDefault="00310EF5" w:rsidP="00310EF5">
            <w:pPr>
              <w:rPr>
                <w:b/>
              </w:rPr>
            </w:pPr>
          </w:p>
        </w:tc>
        <w:tc>
          <w:tcPr>
            <w:tcW w:w="5850" w:type="dxa"/>
            <w:shd w:val="clear" w:color="auto" w:fill="FFFF00"/>
          </w:tcPr>
          <w:p w:rsidR="00310EF5" w:rsidRPr="006D2ADC" w:rsidRDefault="00310EF5" w:rsidP="00746D7E">
            <w:pPr>
              <w:jc w:val="center"/>
              <w:rPr>
                <w:b/>
              </w:rPr>
            </w:pPr>
          </w:p>
          <w:p w:rsidR="00310EF5" w:rsidRPr="006D2ADC" w:rsidRDefault="00310EF5" w:rsidP="00746D7E">
            <w:r w:rsidRPr="006D2ADC">
              <w:t xml:space="preserve">Systematic embedding of collaboration into the routine practices of the school, “Teachers work in teams, engaging in an ongoing cycle of questions that promote deep team learning.” </w:t>
            </w:r>
            <w:proofErr w:type="spellStart"/>
            <w:r w:rsidRPr="006D2ADC">
              <w:rPr>
                <w:i/>
              </w:rPr>
              <w:t>DuFour</w:t>
            </w:r>
            <w:proofErr w:type="spellEnd"/>
            <w:r w:rsidRPr="006D2ADC">
              <w:rPr>
                <w:i/>
              </w:rPr>
              <w:t xml:space="preserve"> On Common Ground, p. 37</w:t>
            </w:r>
          </w:p>
          <w:p w:rsidR="00310EF5" w:rsidRPr="006D2ADC" w:rsidRDefault="00310EF5" w:rsidP="00746D7E">
            <w:pPr>
              <w:jc w:val="center"/>
              <w:rPr>
                <w:i/>
              </w:rPr>
            </w:pPr>
            <w:r w:rsidRPr="006D2ADC">
              <w:rPr>
                <w:i/>
              </w:rPr>
              <w:t>.</w:t>
            </w:r>
          </w:p>
        </w:tc>
      </w:tr>
      <w:tr w:rsidR="00310EF5" w:rsidRPr="006D2ADC" w:rsidTr="00310EF5">
        <w:trPr>
          <w:trHeight w:val="852"/>
        </w:trPr>
        <w:tc>
          <w:tcPr>
            <w:tcW w:w="3510" w:type="dxa"/>
            <w:tcBorders>
              <w:bottom w:val="single" w:sz="4" w:space="0" w:color="auto"/>
            </w:tcBorders>
            <w:shd w:val="clear" w:color="auto" w:fill="FFC000"/>
          </w:tcPr>
          <w:p w:rsidR="00310EF5" w:rsidRPr="006D2ADC" w:rsidRDefault="00310EF5" w:rsidP="00746D7E">
            <w:pPr>
              <w:rPr>
                <w:b/>
              </w:rPr>
            </w:pPr>
          </w:p>
          <w:p w:rsidR="00310EF5" w:rsidRPr="00310EF5" w:rsidRDefault="00310EF5" w:rsidP="00310EF5">
            <w:pPr>
              <w:jc w:val="center"/>
              <w:rPr>
                <w:rFonts w:cs="Helvetica"/>
              </w:rPr>
            </w:pPr>
            <w:r w:rsidRPr="00310EF5">
              <w:rPr>
                <w:rFonts w:cs="Helvetica"/>
              </w:rPr>
              <w:t>Time</w:t>
            </w:r>
          </w:p>
          <w:p w:rsidR="00310EF5" w:rsidRPr="006D2ADC" w:rsidRDefault="00310EF5" w:rsidP="00746D7E">
            <w:pPr>
              <w:jc w:val="center"/>
              <w:rPr>
                <w:b/>
              </w:rPr>
            </w:pPr>
          </w:p>
          <w:p w:rsidR="00310EF5" w:rsidRPr="006D2ADC" w:rsidRDefault="00310EF5" w:rsidP="00746D7E">
            <w:pPr>
              <w:rPr>
                <w:b/>
              </w:rPr>
            </w:pPr>
          </w:p>
        </w:tc>
        <w:tc>
          <w:tcPr>
            <w:tcW w:w="5850" w:type="dxa"/>
            <w:shd w:val="clear" w:color="auto" w:fill="FFFF00"/>
          </w:tcPr>
          <w:p w:rsidR="00310EF5" w:rsidRPr="006D2ADC" w:rsidRDefault="00310EF5" w:rsidP="00746D7E">
            <w:pPr>
              <w:jc w:val="center"/>
              <w:rPr>
                <w:b/>
              </w:rPr>
            </w:pPr>
          </w:p>
          <w:p w:rsidR="00310EF5" w:rsidRPr="006D2ADC" w:rsidRDefault="00310EF5" w:rsidP="00746D7E">
            <w:r w:rsidRPr="006D2ADC">
              <w:t>Collaborative team time that is ‘s</w:t>
            </w:r>
            <w:r>
              <w:t xml:space="preserve">acred” to the school’s schedule; </w:t>
            </w:r>
            <w:r w:rsidRPr="006D2ADC">
              <w:t xml:space="preserve">Dedicated Team Time </w:t>
            </w:r>
          </w:p>
          <w:p w:rsidR="00310EF5" w:rsidRPr="006D2ADC" w:rsidRDefault="00310EF5" w:rsidP="00746D7E">
            <w:pPr>
              <w:jc w:val="center"/>
              <w:rPr>
                <w:b/>
              </w:rPr>
            </w:pPr>
          </w:p>
        </w:tc>
      </w:tr>
      <w:tr w:rsidR="00310EF5" w:rsidRPr="006D2ADC" w:rsidTr="00310EF5">
        <w:trPr>
          <w:trHeight w:val="1677"/>
        </w:trPr>
        <w:tc>
          <w:tcPr>
            <w:tcW w:w="3510" w:type="dxa"/>
            <w:tcBorders>
              <w:bottom w:val="single" w:sz="4" w:space="0" w:color="auto"/>
            </w:tcBorders>
            <w:shd w:val="clear" w:color="auto" w:fill="FFC000"/>
          </w:tcPr>
          <w:p w:rsidR="00310EF5" w:rsidRPr="006D2ADC" w:rsidRDefault="00310EF5" w:rsidP="00746D7E"/>
          <w:p w:rsidR="00310EF5" w:rsidRDefault="00310EF5" w:rsidP="00310EF5">
            <w:pPr>
              <w:jc w:val="center"/>
              <w:rPr>
                <w:rFonts w:cs="Helvetica"/>
              </w:rPr>
            </w:pPr>
          </w:p>
          <w:p w:rsidR="00310EF5" w:rsidRPr="00310EF5" w:rsidRDefault="00310EF5" w:rsidP="00310EF5">
            <w:pPr>
              <w:jc w:val="center"/>
              <w:rPr>
                <w:rFonts w:cs="Helvetica"/>
              </w:rPr>
            </w:pPr>
            <w:r w:rsidRPr="00310EF5">
              <w:rPr>
                <w:rFonts w:cs="Helvetica"/>
              </w:rPr>
              <w:t>Culture Committed to Improvement and Growth</w:t>
            </w:r>
          </w:p>
          <w:p w:rsidR="00310EF5" w:rsidRPr="006D2ADC" w:rsidRDefault="00310EF5" w:rsidP="00746D7E">
            <w:pPr>
              <w:rPr>
                <w:b/>
              </w:rPr>
            </w:pPr>
          </w:p>
        </w:tc>
        <w:tc>
          <w:tcPr>
            <w:tcW w:w="5850" w:type="dxa"/>
            <w:shd w:val="clear" w:color="auto" w:fill="FFFF00"/>
          </w:tcPr>
          <w:p w:rsidR="00310EF5" w:rsidRPr="006D2ADC" w:rsidRDefault="00310EF5" w:rsidP="00746D7E">
            <w:r w:rsidRPr="006D2ADC">
              <w:t>Creating a culture that focuses on improving learning of adults and students.  Enhancing that culture by creating and honoring  “norms” of collaborative behaviors that allow team members to decide what will be discussed, the manner in how it will be discussed and the openness with which they offer and absorb various perspectives.</w:t>
            </w:r>
          </w:p>
          <w:p w:rsidR="00310EF5" w:rsidRPr="006D2ADC" w:rsidRDefault="00310EF5" w:rsidP="00746D7E">
            <w:pPr>
              <w:jc w:val="center"/>
              <w:rPr>
                <w:b/>
              </w:rPr>
            </w:pPr>
          </w:p>
        </w:tc>
      </w:tr>
      <w:tr w:rsidR="00310EF5" w:rsidRPr="006D2ADC" w:rsidTr="00310EF5">
        <w:trPr>
          <w:trHeight w:val="586"/>
        </w:trPr>
        <w:tc>
          <w:tcPr>
            <w:tcW w:w="3510" w:type="dxa"/>
            <w:tcBorders>
              <w:bottom w:val="single" w:sz="4" w:space="0" w:color="auto"/>
            </w:tcBorders>
            <w:shd w:val="clear" w:color="auto" w:fill="FFC000"/>
          </w:tcPr>
          <w:p w:rsidR="00310EF5" w:rsidRDefault="00310EF5" w:rsidP="00310EF5">
            <w:pPr>
              <w:jc w:val="center"/>
              <w:rPr>
                <w:rFonts w:cs="Helvetica"/>
              </w:rPr>
            </w:pPr>
          </w:p>
          <w:p w:rsidR="00310EF5" w:rsidRPr="00310EF5" w:rsidRDefault="00310EF5" w:rsidP="00310EF5">
            <w:pPr>
              <w:jc w:val="center"/>
              <w:rPr>
                <w:rFonts w:cs="Helvetica"/>
              </w:rPr>
            </w:pPr>
            <w:r w:rsidRPr="00310EF5">
              <w:rPr>
                <w:rFonts w:cs="Helvetica"/>
              </w:rPr>
              <w:t>Clear Objectives</w:t>
            </w:r>
          </w:p>
          <w:p w:rsidR="00310EF5" w:rsidRPr="006D2ADC" w:rsidRDefault="00310EF5" w:rsidP="00746D7E">
            <w:pPr>
              <w:rPr>
                <w:b/>
              </w:rPr>
            </w:pPr>
          </w:p>
        </w:tc>
        <w:tc>
          <w:tcPr>
            <w:tcW w:w="5850" w:type="dxa"/>
            <w:shd w:val="clear" w:color="auto" w:fill="FFFF00"/>
          </w:tcPr>
          <w:p w:rsidR="00310EF5" w:rsidRPr="006D2ADC" w:rsidRDefault="00310EF5" w:rsidP="00746D7E">
            <w:r w:rsidRPr="006D2ADC">
              <w:t>Clarification of essential learning outcomes (What do we want eac</w:t>
            </w:r>
            <w:r>
              <w:t>h student to know and be able t</w:t>
            </w:r>
            <w:r w:rsidRPr="006D2ADC">
              <w:t>o do?) and of formative assessments of learning progress (How do we know they have learned</w:t>
            </w:r>
            <w:r>
              <w:t xml:space="preserve"> what we intended them to learn</w:t>
            </w:r>
            <w:r w:rsidRPr="006D2ADC">
              <w:t>?).</w:t>
            </w:r>
          </w:p>
          <w:p w:rsidR="00310EF5" w:rsidRPr="006D2ADC" w:rsidRDefault="00310EF5" w:rsidP="00746D7E">
            <w:pPr>
              <w:rPr>
                <w:b/>
              </w:rPr>
            </w:pPr>
          </w:p>
        </w:tc>
      </w:tr>
      <w:tr w:rsidR="00310EF5" w:rsidRPr="006D2ADC" w:rsidTr="00310EF5">
        <w:trPr>
          <w:trHeight w:val="1118"/>
        </w:trPr>
        <w:tc>
          <w:tcPr>
            <w:tcW w:w="3510" w:type="dxa"/>
            <w:tcBorders>
              <w:bottom w:val="single" w:sz="4" w:space="0" w:color="auto"/>
            </w:tcBorders>
            <w:shd w:val="clear" w:color="auto" w:fill="FFC000"/>
          </w:tcPr>
          <w:p w:rsidR="00310EF5" w:rsidRPr="006D2ADC" w:rsidRDefault="00310EF5" w:rsidP="00746D7E"/>
          <w:p w:rsidR="00310EF5" w:rsidRPr="00310EF5" w:rsidRDefault="00310EF5" w:rsidP="00310EF5">
            <w:pPr>
              <w:jc w:val="center"/>
              <w:rPr>
                <w:rFonts w:cs="Helvetica"/>
              </w:rPr>
            </w:pPr>
            <w:r w:rsidRPr="00310EF5">
              <w:rPr>
                <w:rFonts w:cs="Helvetica"/>
              </w:rPr>
              <w:t>Distributed Leadership</w:t>
            </w:r>
          </w:p>
          <w:p w:rsidR="00310EF5" w:rsidRPr="006D2ADC" w:rsidRDefault="00310EF5" w:rsidP="00746D7E">
            <w:pPr>
              <w:rPr>
                <w:b/>
              </w:rPr>
            </w:pPr>
          </w:p>
        </w:tc>
        <w:tc>
          <w:tcPr>
            <w:tcW w:w="5850" w:type="dxa"/>
            <w:shd w:val="clear" w:color="auto" w:fill="FFFF00"/>
          </w:tcPr>
          <w:p w:rsidR="00310EF5" w:rsidRPr="006D2ADC" w:rsidRDefault="00310EF5" w:rsidP="00746D7E">
            <w:r w:rsidRPr="006D2ADC">
              <w:t xml:space="preserve">A shift from Principal/Superintendent as sole leader to the development of a vibrant leadership team and teacher leaders. </w:t>
            </w:r>
          </w:p>
          <w:p w:rsidR="00310EF5" w:rsidRPr="006D2ADC" w:rsidRDefault="00310EF5" w:rsidP="00746D7E">
            <w:pPr>
              <w:jc w:val="center"/>
              <w:rPr>
                <w:b/>
              </w:rPr>
            </w:pPr>
          </w:p>
        </w:tc>
      </w:tr>
      <w:tr w:rsidR="00310EF5" w:rsidRPr="006D2ADC" w:rsidTr="00310EF5">
        <w:trPr>
          <w:trHeight w:val="558"/>
        </w:trPr>
        <w:tc>
          <w:tcPr>
            <w:tcW w:w="3510" w:type="dxa"/>
            <w:shd w:val="clear" w:color="auto" w:fill="FFC000"/>
          </w:tcPr>
          <w:p w:rsidR="00801A93" w:rsidRDefault="00801A93" w:rsidP="00310EF5">
            <w:pPr>
              <w:jc w:val="center"/>
              <w:rPr>
                <w:rFonts w:cs="Helvetica"/>
              </w:rPr>
            </w:pPr>
          </w:p>
          <w:p w:rsidR="00310EF5" w:rsidRPr="00310EF5" w:rsidRDefault="00310EF5" w:rsidP="00310EF5">
            <w:pPr>
              <w:jc w:val="center"/>
              <w:rPr>
                <w:rFonts w:cs="Helvetica"/>
              </w:rPr>
            </w:pPr>
            <w:bookmarkStart w:id="0" w:name="_GoBack"/>
            <w:bookmarkEnd w:id="0"/>
            <w:r w:rsidRPr="00310EF5">
              <w:rPr>
                <w:rFonts w:cs="Helvetica"/>
              </w:rPr>
              <w:t>Space</w:t>
            </w:r>
          </w:p>
          <w:p w:rsidR="00310EF5" w:rsidRPr="006D2ADC" w:rsidRDefault="00310EF5" w:rsidP="00746D7E"/>
        </w:tc>
        <w:tc>
          <w:tcPr>
            <w:tcW w:w="5850" w:type="dxa"/>
            <w:shd w:val="clear" w:color="auto" w:fill="FFFF00"/>
          </w:tcPr>
          <w:p w:rsidR="00310EF5" w:rsidRDefault="00310EF5" w:rsidP="00746D7E">
            <w:r w:rsidRPr="006D2ADC">
              <w:t>A secured place free from distraction where professional learning can take place.</w:t>
            </w:r>
          </w:p>
          <w:p w:rsidR="00310EF5" w:rsidRPr="006D2ADC" w:rsidRDefault="00310EF5" w:rsidP="00746D7E"/>
        </w:tc>
      </w:tr>
    </w:tbl>
    <w:p w:rsidR="00310EF5" w:rsidRDefault="00310EF5"/>
    <w:sectPr w:rsidR="00310EF5">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783" w:rsidRDefault="00F92783" w:rsidP="00310EF5">
      <w:r>
        <w:separator/>
      </w:r>
    </w:p>
  </w:endnote>
  <w:endnote w:type="continuationSeparator" w:id="0">
    <w:p w:rsidR="00F92783" w:rsidRDefault="00F92783" w:rsidP="0031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F5" w:rsidRDefault="00310EF5" w:rsidP="003F23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0EF5" w:rsidRDefault="00310EF5" w:rsidP="003F23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F5" w:rsidRDefault="00310EF5" w:rsidP="003F23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7C0E">
      <w:rPr>
        <w:rStyle w:val="PageNumber"/>
        <w:noProof/>
      </w:rPr>
      <w:t>2</w:t>
    </w:r>
    <w:r>
      <w:rPr>
        <w:rStyle w:val="PageNumber"/>
      </w:rPr>
      <w:fldChar w:fldCharType="end"/>
    </w:r>
  </w:p>
  <w:p w:rsidR="00310EF5" w:rsidRPr="003F233E" w:rsidRDefault="00310EF5" w:rsidP="003F233E">
    <w:pPr>
      <w:pStyle w:val="Footer"/>
      <w:ind w:right="360"/>
      <w:rPr>
        <w:sz w:val="22"/>
        <w:szCs w:val="22"/>
      </w:rPr>
    </w:pPr>
    <w:r w:rsidRPr="003F233E">
      <w:rPr>
        <w:sz w:val="22"/>
        <w:szCs w:val="22"/>
      </w:rPr>
      <w:t>Center for Collaborative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783" w:rsidRDefault="00F92783" w:rsidP="00310EF5">
      <w:r>
        <w:separator/>
      </w:r>
    </w:p>
  </w:footnote>
  <w:footnote w:type="continuationSeparator" w:id="0">
    <w:p w:rsidR="00F92783" w:rsidRDefault="00F92783" w:rsidP="00310E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926C1"/>
    <w:multiLevelType w:val="hybridMultilevel"/>
    <w:tmpl w:val="C0DC54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772DF5"/>
    <w:multiLevelType w:val="hybridMultilevel"/>
    <w:tmpl w:val="6EC603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EF5"/>
    <w:rsid w:val="00310EF5"/>
    <w:rsid w:val="0080057A"/>
    <w:rsid w:val="00801A93"/>
    <w:rsid w:val="009D2E47"/>
    <w:rsid w:val="00A57C0E"/>
    <w:rsid w:val="00A61CEE"/>
    <w:rsid w:val="00A90301"/>
    <w:rsid w:val="00D578C5"/>
    <w:rsid w:val="00DA3279"/>
    <w:rsid w:val="00E171B1"/>
    <w:rsid w:val="00F92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0EF5"/>
    <w:pPr>
      <w:tabs>
        <w:tab w:val="center" w:pos="4320"/>
        <w:tab w:val="right" w:pos="8640"/>
      </w:tabs>
    </w:pPr>
    <w:rPr>
      <w:rFonts w:ascii="Cambria" w:eastAsia="MS Mincho" w:hAnsi="Cambria" w:cs="Times New Roman"/>
      <w:sz w:val="24"/>
      <w:szCs w:val="24"/>
      <w:lang w:eastAsia="ja-JP"/>
    </w:rPr>
  </w:style>
  <w:style w:type="character" w:customStyle="1" w:styleId="FooterChar">
    <w:name w:val="Footer Char"/>
    <w:basedOn w:val="DefaultParagraphFont"/>
    <w:link w:val="Footer"/>
    <w:uiPriority w:val="99"/>
    <w:rsid w:val="00310EF5"/>
    <w:rPr>
      <w:rFonts w:ascii="Cambria" w:eastAsia="MS Mincho" w:hAnsi="Cambria" w:cs="Times New Roman"/>
      <w:sz w:val="24"/>
      <w:szCs w:val="24"/>
      <w:lang w:eastAsia="ja-JP"/>
    </w:rPr>
  </w:style>
  <w:style w:type="character" w:styleId="PageNumber">
    <w:name w:val="page number"/>
    <w:basedOn w:val="DefaultParagraphFont"/>
    <w:uiPriority w:val="99"/>
    <w:semiHidden/>
    <w:unhideWhenUsed/>
    <w:rsid w:val="00310EF5"/>
  </w:style>
  <w:style w:type="paragraph" w:styleId="Header">
    <w:name w:val="header"/>
    <w:basedOn w:val="Normal"/>
    <w:link w:val="HeaderChar"/>
    <w:uiPriority w:val="99"/>
    <w:unhideWhenUsed/>
    <w:rsid w:val="00310EF5"/>
    <w:pPr>
      <w:tabs>
        <w:tab w:val="center" w:pos="4320"/>
        <w:tab w:val="right" w:pos="8640"/>
      </w:tabs>
    </w:pPr>
    <w:rPr>
      <w:rFonts w:ascii="Cambria" w:eastAsia="MS Mincho" w:hAnsi="Cambria" w:cs="Times New Roman"/>
      <w:sz w:val="24"/>
      <w:szCs w:val="24"/>
      <w:lang w:eastAsia="ja-JP"/>
    </w:rPr>
  </w:style>
  <w:style w:type="character" w:customStyle="1" w:styleId="HeaderChar">
    <w:name w:val="Header Char"/>
    <w:basedOn w:val="DefaultParagraphFont"/>
    <w:link w:val="Header"/>
    <w:uiPriority w:val="99"/>
    <w:rsid w:val="00310EF5"/>
    <w:rPr>
      <w:rFonts w:ascii="Cambria" w:eastAsia="MS Mincho" w:hAnsi="Cambria" w:cs="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0EF5"/>
    <w:pPr>
      <w:tabs>
        <w:tab w:val="center" w:pos="4320"/>
        <w:tab w:val="right" w:pos="8640"/>
      </w:tabs>
    </w:pPr>
    <w:rPr>
      <w:rFonts w:ascii="Cambria" w:eastAsia="MS Mincho" w:hAnsi="Cambria" w:cs="Times New Roman"/>
      <w:sz w:val="24"/>
      <w:szCs w:val="24"/>
      <w:lang w:eastAsia="ja-JP"/>
    </w:rPr>
  </w:style>
  <w:style w:type="character" w:customStyle="1" w:styleId="FooterChar">
    <w:name w:val="Footer Char"/>
    <w:basedOn w:val="DefaultParagraphFont"/>
    <w:link w:val="Footer"/>
    <w:uiPriority w:val="99"/>
    <w:rsid w:val="00310EF5"/>
    <w:rPr>
      <w:rFonts w:ascii="Cambria" w:eastAsia="MS Mincho" w:hAnsi="Cambria" w:cs="Times New Roman"/>
      <w:sz w:val="24"/>
      <w:szCs w:val="24"/>
      <w:lang w:eastAsia="ja-JP"/>
    </w:rPr>
  </w:style>
  <w:style w:type="character" w:styleId="PageNumber">
    <w:name w:val="page number"/>
    <w:basedOn w:val="DefaultParagraphFont"/>
    <w:uiPriority w:val="99"/>
    <w:semiHidden/>
    <w:unhideWhenUsed/>
    <w:rsid w:val="00310EF5"/>
  </w:style>
  <w:style w:type="paragraph" w:styleId="Header">
    <w:name w:val="header"/>
    <w:basedOn w:val="Normal"/>
    <w:link w:val="HeaderChar"/>
    <w:uiPriority w:val="99"/>
    <w:unhideWhenUsed/>
    <w:rsid w:val="00310EF5"/>
    <w:pPr>
      <w:tabs>
        <w:tab w:val="center" w:pos="4320"/>
        <w:tab w:val="right" w:pos="8640"/>
      </w:tabs>
    </w:pPr>
    <w:rPr>
      <w:rFonts w:ascii="Cambria" w:eastAsia="MS Mincho" w:hAnsi="Cambria" w:cs="Times New Roman"/>
      <w:sz w:val="24"/>
      <w:szCs w:val="24"/>
      <w:lang w:eastAsia="ja-JP"/>
    </w:rPr>
  </w:style>
  <w:style w:type="character" w:customStyle="1" w:styleId="HeaderChar">
    <w:name w:val="Header Char"/>
    <w:basedOn w:val="DefaultParagraphFont"/>
    <w:link w:val="Header"/>
    <w:uiPriority w:val="99"/>
    <w:rsid w:val="00310EF5"/>
    <w:rPr>
      <w:rFonts w:ascii="Cambria" w:eastAsia="MS Mincho" w:hAnsi="Cambria"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Dubuisson</dc:creator>
  <cp:lastModifiedBy>Richard Dubuisson</cp:lastModifiedBy>
  <cp:revision>5</cp:revision>
  <cp:lastPrinted>2013-11-05T04:30:00Z</cp:lastPrinted>
  <dcterms:created xsi:type="dcterms:W3CDTF">2013-10-07T19:24:00Z</dcterms:created>
  <dcterms:modified xsi:type="dcterms:W3CDTF">2013-11-05T04:31:00Z</dcterms:modified>
</cp:coreProperties>
</file>