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36043" w14:textId="5913C2E1" w:rsidR="00BE7BA6" w:rsidRDefault="00BE7BA6" w:rsidP="00BE7BA6">
      <w:pPr>
        <w:pStyle w:val="Header"/>
        <w:tabs>
          <w:tab w:val="clear" w:pos="4680"/>
          <w:tab w:val="clear" w:pos="9360"/>
          <w:tab w:val="left" w:pos="7200"/>
        </w:tabs>
        <w:rPr>
          <w:b/>
          <w:noProof/>
        </w:rPr>
      </w:pPr>
      <w:r>
        <w:rPr>
          <w:noProof/>
        </w:rPr>
        <w:drawing>
          <wp:inline distT="0" distB="0" distL="0" distR="0" wp14:anchorId="3DF0D710" wp14:editId="5B7749CB">
            <wp:extent cx="1382395" cy="680720"/>
            <wp:effectExtent l="0" t="0" r="8255" b="5080"/>
            <wp:docPr id="4" name="Picture 2" descr="Massachusetts Department of Elementary and Secondary Education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680720"/>
                    </a:xfrm>
                    <a:prstGeom prst="rect">
                      <a:avLst/>
                    </a:prstGeom>
                    <a:noFill/>
                    <a:ln>
                      <a:noFill/>
                    </a:ln>
                  </pic:spPr>
                </pic:pic>
              </a:graphicData>
            </a:graphic>
          </wp:inline>
        </w:drawing>
      </w:r>
      <w:r>
        <w:rPr>
          <w:b/>
          <w:noProof/>
        </w:rPr>
        <w:tab/>
      </w:r>
      <w:r>
        <w:rPr>
          <w:noProof/>
        </w:rPr>
        <w:drawing>
          <wp:inline distT="0" distB="0" distL="0" distR="0" wp14:anchorId="7B317908" wp14:editId="33FD129B">
            <wp:extent cx="1132840" cy="426720"/>
            <wp:effectExtent l="0" t="0" r="0" b="0"/>
            <wp:docPr id="1" name="Picture 5" descr="Center for Collaborative Education Logo" title="C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c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840" cy="426720"/>
                    </a:xfrm>
                    <a:prstGeom prst="rect">
                      <a:avLst/>
                    </a:prstGeom>
                    <a:noFill/>
                  </pic:spPr>
                </pic:pic>
              </a:graphicData>
            </a:graphic>
          </wp:inline>
        </w:drawing>
      </w:r>
      <w:r>
        <w:rPr>
          <w:b/>
          <w:noProof/>
        </w:rPr>
        <w:tab/>
      </w:r>
    </w:p>
    <w:p w14:paraId="7E426962" w14:textId="77777777" w:rsidR="00CC449F" w:rsidRDefault="00CC449F" w:rsidP="002D1168">
      <w:pPr>
        <w:rPr>
          <w:rFonts w:ascii="Arial" w:hAnsi="Arial" w:cs="Arial"/>
          <w:b/>
          <w:color w:val="1F497D"/>
        </w:rPr>
      </w:pPr>
    </w:p>
    <w:p w14:paraId="19FABC12" w14:textId="77777777" w:rsidR="002D1168" w:rsidRPr="00DC7270" w:rsidRDefault="002D1168" w:rsidP="00BE7BA6">
      <w:pPr>
        <w:rPr>
          <w:rFonts w:ascii="Arial" w:hAnsi="Arial" w:cs="Arial"/>
          <w:b/>
          <w:color w:val="1F497D"/>
        </w:rPr>
      </w:pPr>
      <w:r w:rsidRPr="00DC7270">
        <w:rPr>
          <w:rFonts w:ascii="Arial" w:hAnsi="Arial" w:cs="Arial"/>
          <w:b/>
          <w:color w:val="1F497D"/>
        </w:rPr>
        <w:t>Introduction</w:t>
      </w:r>
    </w:p>
    <w:p w14:paraId="430DB8AF" w14:textId="77777777" w:rsidR="002D1168" w:rsidRPr="00DA5199" w:rsidRDefault="002D1168" w:rsidP="002D1168">
      <w:pPr>
        <w:pStyle w:val="MediumGrid1-Accent21"/>
        <w:ind w:left="0"/>
        <w:rPr>
          <w:rFonts w:ascii="Arial" w:hAnsi="Arial" w:cs="Arial"/>
          <w:b/>
          <w:color w:val="F79646"/>
          <w:sz w:val="22"/>
          <w:szCs w:val="22"/>
        </w:rPr>
      </w:pPr>
    </w:p>
    <w:p w14:paraId="0072E99F" w14:textId="77777777" w:rsidR="002D1168" w:rsidRDefault="002D1168" w:rsidP="002D1168">
      <w:pPr>
        <w:spacing w:line="276" w:lineRule="auto"/>
        <w:rPr>
          <w:rFonts w:ascii="Arial" w:hAnsi="Arial" w:cs="Arial"/>
          <w:sz w:val="22"/>
          <w:szCs w:val="22"/>
        </w:rPr>
      </w:pPr>
      <w:r w:rsidRPr="00DA5199">
        <w:rPr>
          <w:rFonts w:ascii="Arial" w:hAnsi="Arial" w:cs="Arial"/>
          <w:sz w:val="22"/>
          <w:szCs w:val="22"/>
        </w:rPr>
        <w:t>Professional Learning Communities (PLCs) provide a systematic means of improving instruction and school culture. By design, PLCs overcome the isolated, fragmented cultures in which teachers usually work. Studies show that building strong professional learning communities - focused on improving instruction, curriculum, and assessment – will result in increased teacher collaboration and an increase in the use of effective instructional practices in classrooms, leading to improved student achievement.</w:t>
      </w:r>
    </w:p>
    <w:p w14:paraId="0EF7F236" w14:textId="77777777" w:rsidR="00BE7BA6" w:rsidRPr="00DA5199" w:rsidRDefault="00BE7BA6" w:rsidP="002D1168">
      <w:pPr>
        <w:spacing w:line="276" w:lineRule="auto"/>
        <w:rPr>
          <w:rFonts w:ascii="Arial" w:hAnsi="Arial" w:cs="Arial"/>
          <w:sz w:val="22"/>
          <w:szCs w:val="22"/>
        </w:rPr>
      </w:pPr>
    </w:p>
    <w:p w14:paraId="6758B7B9" w14:textId="3D85AF1C" w:rsidR="002D1168" w:rsidRPr="00DC7270" w:rsidRDefault="00BE7BA6" w:rsidP="002D1168">
      <w:pPr>
        <w:ind w:right="-180"/>
        <w:rPr>
          <w:b/>
          <w:sz w:val="16"/>
          <w:szCs w:val="16"/>
        </w:rPr>
      </w:pPr>
      <w:r w:rsidRPr="00DC7270">
        <w:rPr>
          <w:rFonts w:ascii="Arial" w:hAnsi="Arial" w:cs="Arial"/>
          <w:noProof/>
          <w:sz w:val="16"/>
          <w:szCs w:val="16"/>
          <w:highlight w:val="yellow"/>
          <w:lang w:eastAsia="en-US"/>
        </w:rPr>
        <mc:AlternateContent>
          <mc:Choice Requires="wps">
            <w:drawing>
              <wp:inline distT="0" distB="0" distL="0" distR="0" wp14:anchorId="4C9B94BF" wp14:editId="07A6397C">
                <wp:extent cx="1362075" cy="904875"/>
                <wp:effectExtent l="0" t="0" r="47625" b="28575"/>
                <wp:docPr id="1025" name="Right Arrow Callout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904875"/>
                        </a:xfrm>
                        <a:prstGeom prst="rightArrowCallout">
                          <a:avLst>
                            <a:gd name="adj1" fmla="val 25000"/>
                            <a:gd name="adj2" fmla="val 25000"/>
                            <a:gd name="adj3" fmla="val 22935"/>
                            <a:gd name="adj4" fmla="val 81694"/>
                          </a:avLst>
                        </a:prstGeom>
                        <a:solidFill>
                          <a:srgbClr val="558ED5"/>
                        </a:solidFill>
                        <a:ln w="25400" algn="ctr">
                          <a:solidFill>
                            <a:srgbClr val="376092"/>
                          </a:solidFill>
                          <a:miter lim="800000"/>
                          <a:headEnd/>
                          <a:tailEnd/>
                        </a:ln>
                      </wps:spPr>
                      <wps:txbx>
                        <w:txbxContent>
                          <w:p w14:paraId="45CF51E6" w14:textId="77777777" w:rsidR="00BE7BA6" w:rsidRDefault="00BE7BA6" w:rsidP="00BE7BA6">
                            <w:pPr>
                              <w:pStyle w:val="NormalWeb"/>
                              <w:spacing w:before="0" w:beforeAutospacing="0" w:after="0" w:afterAutospacing="0" w:line="200" w:lineRule="exact"/>
                              <w:jc w:val="center"/>
                            </w:pPr>
                            <w:r>
                              <w:rPr>
                                <w:rFonts w:ascii="Arial" w:hAnsi="Arial" w:cs="Arial"/>
                                <w:color w:val="FFFFFF"/>
                                <w:sz w:val="20"/>
                                <w:szCs w:val="20"/>
                              </w:rPr>
                              <w:t xml:space="preserve">Building vibrant Professional Learning Communities (PLC) </w:t>
                            </w:r>
                          </w:p>
                        </w:txbxContent>
                      </wps:txbx>
                      <wps:bodyPr vertOverflow="clip" wrap="square" lIns="91440" tIns="45720" rIns="91440" bIns="45720" anchor="ctr" upright="1">
                        <a:noAutofit/>
                      </wps:bodyPr>
                    </wps:wsp>
                  </a:graphicData>
                </a:graphic>
              </wp:inline>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025" o:spid="_x0000_s1026" type="#_x0000_t78" style="width:107.25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" adj="17646,,18309" fillcolor="#558ed5" strokecolor="#376092" strokeweight="2pt">
                <v:textbox>
                  <w:txbxContent>
                    <w:p w14:paraId="45CF51E6" w14:textId="77777777" w:rsidR="00BE7BA6" w:rsidRDefault="00BE7BA6" w:rsidP="00BE7BA6">
                      <w:pPr>
                        <w:pStyle w:val="NormalWeb"/>
                        <w:spacing w:before="0" w:beforeAutospacing="0" w:after="0" w:afterAutospacing="0" w:line="200" w:lineRule="exact"/>
                        <w:jc w:val="center"/>
                      </w:pPr>
                      <w:r>
                        <w:rPr>
                          <w:rFonts w:ascii="Arial" w:hAnsi="Arial" w:cs="Arial"/>
                          <w:color w:val="FFFFFF"/>
                          <w:sz w:val="20"/>
                          <w:szCs w:val="20"/>
                        </w:rPr>
                        <w:t xml:space="preserve">Building vibrant Professional Learning Communities (PLC) </w:t>
                      </w:r>
                    </w:p>
                  </w:txbxContent>
                </v:textbox>
                <w10:anchorlock/>
              </v:shape>
            </w:pict>
          </mc:Fallback>
        </mc:AlternateContent>
      </w:r>
      <w:r w:rsidRPr="00DC7270">
        <w:rPr>
          <w:rFonts w:ascii="Arial" w:hAnsi="Arial" w:cs="Arial"/>
          <w:noProof/>
          <w:sz w:val="16"/>
          <w:szCs w:val="16"/>
          <w:highlight w:val="yellow"/>
          <w:lang w:eastAsia="en-US"/>
        </w:rPr>
        <mc:AlternateContent>
          <mc:Choice Requires="wps">
            <w:drawing>
              <wp:inline distT="0" distB="0" distL="0" distR="0" wp14:anchorId="492BEDF4" wp14:editId="355487E7">
                <wp:extent cx="1447800" cy="904875"/>
                <wp:effectExtent l="0" t="0" r="38100" b="28575"/>
                <wp:docPr id="1026" name="Right Arrow Callout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04875"/>
                        </a:xfrm>
                        <a:prstGeom prst="rightArrowCallout">
                          <a:avLst>
                            <a:gd name="adj1" fmla="val 25000"/>
                            <a:gd name="adj2" fmla="val 25000"/>
                            <a:gd name="adj3" fmla="val 23364"/>
                            <a:gd name="adj4" fmla="val 82588"/>
                          </a:avLst>
                        </a:prstGeom>
                        <a:solidFill>
                          <a:srgbClr val="4F81BD"/>
                        </a:solidFill>
                        <a:ln w="25400" algn="ctr">
                          <a:solidFill>
                            <a:srgbClr val="376092"/>
                          </a:solidFill>
                          <a:miter lim="800000"/>
                          <a:headEnd/>
                          <a:tailEnd/>
                        </a:ln>
                      </wps:spPr>
                      <wps:txbx>
                        <w:txbxContent>
                          <w:p w14:paraId="5D0B934A" w14:textId="77777777" w:rsidR="00BE7BA6" w:rsidRDefault="00BE7BA6" w:rsidP="00BE7BA6">
                            <w:pPr>
                              <w:pStyle w:val="NormalWeb"/>
                              <w:spacing w:before="0" w:beforeAutospacing="0" w:after="0" w:afterAutospacing="0"/>
                              <w:jc w:val="center"/>
                            </w:pPr>
                            <w:r w:rsidRPr="00BE7BA6">
                              <w:rPr>
                                <w:rFonts w:ascii="Arial" w:hAnsi="Arial" w:cs="Arial"/>
                                <w:color w:val="FFFFFF"/>
                                <w:sz w:val="18"/>
                                <w:szCs w:val="18"/>
                              </w:rPr>
                              <w:t>Increased school collaboration focused on improving instruction &amp; student learning</w:t>
                            </w:r>
                          </w:p>
                        </w:txbxContent>
                      </wps:txbx>
                      <wps:bodyPr vertOverflow="clip" wrap="square" lIns="91440" tIns="45720" rIns="91440" bIns="45720" anchor="ctr" upright="1">
                        <a:noAutofit/>
                      </wps:bodyPr>
                    </wps:wsp>
                  </a:graphicData>
                </a:graphic>
              </wp:inline>
            </w:drawing>
          </mc:Choice>
          <mc:Fallback>
            <w:pict>
              <v:shape id="Right Arrow Callout 1026" o:spid="_x0000_s1027" type="#_x0000_t78" style="width:114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" adj="17839,,18446" fillcolor="#4f81bd" strokecolor="#376092" strokeweight="2pt">
                <v:textbox>
                  <w:txbxContent>
                    <w:p w14:paraId="5D0B934A" w14:textId="77777777" w:rsidR="00BE7BA6" w:rsidRDefault="00BE7BA6" w:rsidP="00BE7BA6">
                      <w:pPr>
                        <w:pStyle w:val="NormalWeb"/>
                        <w:spacing w:before="0" w:beforeAutospacing="0" w:after="0" w:afterAutospacing="0"/>
                        <w:jc w:val="center"/>
                      </w:pPr>
                      <w:r w:rsidRPr="00BE7BA6">
                        <w:rPr>
                          <w:rFonts w:ascii="Arial" w:hAnsi="Arial" w:cs="Arial"/>
                          <w:color w:val="FFFFFF"/>
                          <w:sz w:val="18"/>
                          <w:szCs w:val="18"/>
                        </w:rPr>
                        <w:t>Increased school collaboration focused on improving instruction &amp; student learning</w:t>
                      </w:r>
                    </w:p>
                  </w:txbxContent>
                </v:textbox>
                <w10:anchorlock/>
              </v:shape>
            </w:pict>
          </mc:Fallback>
        </mc:AlternateContent>
      </w:r>
      <w:r w:rsidR="002D1168" w:rsidRPr="00DC7270">
        <w:rPr>
          <w:rFonts w:ascii="Arial" w:hAnsi="Arial" w:cs="Arial"/>
          <w:noProof/>
          <w:sz w:val="16"/>
          <w:szCs w:val="16"/>
          <w:highlight w:val="yellow"/>
          <w:lang w:eastAsia="en-US"/>
        </w:rPr>
        <mc:AlternateContent>
          <mc:Choice Requires="wps">
            <w:drawing>
              <wp:inline distT="0" distB="0" distL="0" distR="0" wp14:anchorId="5E9A898F" wp14:editId="699C0957">
                <wp:extent cx="1438275" cy="904875"/>
                <wp:effectExtent l="0" t="0" r="28575" b="28575"/>
                <wp:docPr id="8" name="Right Arrow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904875"/>
                        </a:xfrm>
                        <a:prstGeom prst="rightArrowCallout">
                          <a:avLst>
                            <a:gd name="adj1" fmla="val 18684"/>
                            <a:gd name="adj2" fmla="val 25000"/>
                            <a:gd name="adj3" fmla="val 21000"/>
                            <a:gd name="adj4" fmla="val 84209"/>
                          </a:avLst>
                        </a:prstGeom>
                        <a:solidFill>
                          <a:srgbClr val="4F81BD">
                            <a:lumMod val="75000"/>
                          </a:srgbClr>
                        </a:solidFill>
                        <a:ln w="25400" cap="flat" cmpd="sng" algn="ctr">
                          <a:solidFill>
                            <a:srgbClr val="4F81BD">
                              <a:shade val="50000"/>
                            </a:srgbClr>
                          </a:solidFill>
                          <a:prstDash val="solid"/>
                        </a:ln>
                        <a:effectLst/>
                      </wps:spPr>
                      <wps:txbx>
                        <w:txbxContent>
                          <w:p w14:paraId="7FF47553" w14:textId="77777777" w:rsidR="00B81293" w:rsidRDefault="00B81293" w:rsidP="002D1168">
                            <w:pPr>
                              <w:pStyle w:val="NormalWeb"/>
                              <w:spacing w:before="0" w:beforeAutospacing="0" w:after="0" w:afterAutospacing="0"/>
                              <w:jc w:val="center"/>
                            </w:pPr>
                            <w:r w:rsidRPr="00431102">
                              <w:rPr>
                                <w:rFonts w:ascii="Arial" w:hAnsi="Arial" w:cs="Arial"/>
                                <w:color w:val="FFFFFF"/>
                                <w:sz w:val="20"/>
                                <w:szCs w:val="20"/>
                              </w:rPr>
                              <w:t>Changes in School and Classroom Practices</w:t>
                            </w:r>
                          </w:p>
                        </w:txbxContent>
                      </wps:txbx>
                      <wps:bodyPr wrap="square" rtlCol="0" anchor="ctr">
                        <a:noAutofit/>
                      </wps:bodyPr>
                    </wps:wsp>
                  </a:graphicData>
                </a:graphic>
              </wp:inline>
            </w:drawing>
          </mc:Choice>
          <mc:Fallback>
            <w:pict>
              <v:shape id="Right Arrow Callout 8" o:spid="_x0000_s1028" type="#_x0000_t78" style="width:113.25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" adj="18189,,18746,8782" fillcolor="#376092" strokecolor="#385d8a" strokeweight="2pt">
                <v:path arrowok="t"/>
                <v:textbox>
                  <w:txbxContent>
                    <w:p w14:paraId="7FF47553" w14:textId="77777777" w:rsidR="00B81293" w:rsidRDefault="00B81293" w:rsidP="002D1168">
                      <w:pPr>
                        <w:pStyle w:val="NormalWeb"/>
                        <w:spacing w:before="0" w:beforeAutospacing="0" w:after="0" w:afterAutospacing="0"/>
                        <w:jc w:val="center"/>
                      </w:pPr>
                      <w:r w:rsidRPr="00431102">
                        <w:rPr>
                          <w:rFonts w:ascii="Arial" w:hAnsi="Arial" w:cs="Arial"/>
                          <w:color w:val="FFFFFF"/>
                          <w:sz w:val="20"/>
                          <w:szCs w:val="20"/>
                        </w:rPr>
                        <w:t>Changes in School and Classroom Practices</w:t>
                      </w:r>
                    </w:p>
                  </w:txbxContent>
                </v:textbox>
                <w10:anchorlock/>
              </v:shape>
            </w:pict>
          </mc:Fallback>
        </mc:AlternateContent>
      </w:r>
      <w:r w:rsidRPr="00DC7270">
        <w:rPr>
          <w:rFonts w:ascii="Arial" w:hAnsi="Arial" w:cs="Arial"/>
          <w:noProof/>
          <w:sz w:val="16"/>
          <w:szCs w:val="16"/>
          <w:highlight w:val="yellow"/>
          <w:lang w:eastAsia="en-US"/>
        </w:rPr>
        <mc:AlternateContent>
          <mc:Choice Requires="wps">
            <w:drawing>
              <wp:inline distT="0" distB="0" distL="0" distR="0" wp14:anchorId="08D534E6" wp14:editId="765B22A9">
                <wp:extent cx="1047750" cy="904875"/>
                <wp:effectExtent l="0" t="0" r="19050" b="28575"/>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904875"/>
                        </a:xfrm>
                        <a:prstGeom prst="rect">
                          <a:avLst/>
                        </a:prstGeom>
                        <a:solidFill>
                          <a:srgbClr val="4F81BD">
                            <a:lumMod val="50000"/>
                          </a:srgbClr>
                        </a:solidFill>
                        <a:ln w="25400" cap="flat" cmpd="sng" algn="ctr">
                          <a:solidFill>
                            <a:srgbClr val="4F81BD">
                              <a:shade val="50000"/>
                            </a:srgbClr>
                          </a:solidFill>
                          <a:prstDash val="solid"/>
                        </a:ln>
                        <a:effectLst/>
                      </wps:spPr>
                      <wps:txbx>
                        <w:txbxContent>
                          <w:p w14:paraId="4B7BE67F" w14:textId="77777777" w:rsidR="00BE7BA6" w:rsidRDefault="00BE7BA6" w:rsidP="00BE7BA6">
                            <w:pPr>
                              <w:pStyle w:val="NormalWeb"/>
                              <w:spacing w:before="0" w:beforeAutospacing="0" w:after="0" w:afterAutospacing="0"/>
                              <w:jc w:val="center"/>
                            </w:pPr>
                            <w:r w:rsidRPr="00431102">
                              <w:rPr>
                                <w:rFonts w:ascii="Arial" w:hAnsi="Arial" w:cs="Arial"/>
                                <w:color w:val="FFFFFF"/>
                                <w:sz w:val="20"/>
                                <w:szCs w:val="20"/>
                              </w:rPr>
                              <w:t>Improved Student Outcomes</w:t>
                            </w:r>
                          </w:p>
                        </w:txbxContent>
                      </wps:txbx>
                      <wps:bodyPr wrap="square" rtlCol="0" anchor="ctr">
                        <a:noAutofit/>
                      </wps:bodyPr>
                    </wps:wsp>
                  </a:graphicData>
                </a:graphic>
              </wp:inline>
            </w:drawing>
          </mc:Choice>
          <mc:Fallback>
            <w:pict>
              <v:rect id="Rectangle 8" o:spid="_x0000_s1029" style="width:82.5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" fillcolor="#254061" strokecolor="#385d8a" strokeweight="2pt">
                <v:path arrowok="t"/>
                <v:textbox>
                  <w:txbxContent>
                    <w:p w14:paraId="4B7BE67F" w14:textId="77777777" w:rsidR="00BE7BA6" w:rsidRDefault="00BE7BA6" w:rsidP="00BE7BA6">
                      <w:pPr>
                        <w:pStyle w:val="NormalWeb"/>
                        <w:spacing w:before="0" w:beforeAutospacing="0" w:after="0" w:afterAutospacing="0"/>
                        <w:jc w:val="center"/>
                      </w:pPr>
                      <w:r w:rsidRPr="00431102">
                        <w:rPr>
                          <w:rFonts w:ascii="Arial" w:hAnsi="Arial" w:cs="Arial"/>
                          <w:color w:val="FFFFFF"/>
                          <w:sz w:val="20"/>
                          <w:szCs w:val="20"/>
                        </w:rPr>
                        <w:t>Improved Student Outcomes</w:t>
                      </w:r>
                    </w:p>
                  </w:txbxContent>
                </v:textbox>
                <w10:anchorlock/>
              </v:rect>
            </w:pict>
          </mc:Fallback>
        </mc:AlternateContent>
      </w:r>
    </w:p>
    <w:p w14:paraId="518D2B44" w14:textId="77777777" w:rsidR="002D1168" w:rsidRPr="00DA5199" w:rsidRDefault="002D1168" w:rsidP="002D1168">
      <w:pPr>
        <w:ind w:right="-180"/>
        <w:rPr>
          <w:b/>
          <w:sz w:val="22"/>
          <w:szCs w:val="22"/>
        </w:rPr>
      </w:pPr>
    </w:p>
    <w:p w14:paraId="1BDBE3A9" w14:textId="77777777" w:rsidR="002D1168" w:rsidRPr="00DA5199" w:rsidRDefault="002D1168" w:rsidP="002D1168">
      <w:pPr>
        <w:pStyle w:val="MediumGrid1-Accent21"/>
        <w:spacing w:line="276" w:lineRule="auto"/>
        <w:ind w:left="0"/>
        <w:rPr>
          <w:rFonts w:ascii="Arial" w:hAnsi="Arial" w:cs="Arial"/>
          <w:sz w:val="22"/>
          <w:szCs w:val="22"/>
        </w:rPr>
      </w:pPr>
      <w:bookmarkStart w:id="0" w:name="_GoBack"/>
      <w:bookmarkEnd w:id="0"/>
      <w:r w:rsidRPr="00DA5199">
        <w:rPr>
          <w:rFonts w:ascii="Arial" w:hAnsi="Arial" w:cs="Arial"/>
          <w:sz w:val="22"/>
          <w:szCs w:val="22"/>
        </w:rPr>
        <w:t xml:space="preserve">Creating a Professional Learning Community, PLC, is very simply what it sounds like but its intent goes far beyond any acronym. Education </w:t>
      </w:r>
      <w:r w:rsidRPr="00DA5199">
        <w:rPr>
          <w:rFonts w:ascii="Arial" w:hAnsi="Arial" w:cs="Arial"/>
          <w:i/>
          <w:sz w:val="22"/>
          <w:szCs w:val="22"/>
        </w:rPr>
        <w:t>professionals</w:t>
      </w:r>
      <w:r w:rsidRPr="00DA5199">
        <w:rPr>
          <w:rFonts w:ascii="Arial" w:hAnsi="Arial" w:cs="Arial"/>
          <w:sz w:val="22"/>
          <w:szCs w:val="22"/>
        </w:rPr>
        <w:t xml:space="preserve"> work together in regularly scheduled meetings structured</w:t>
      </w:r>
      <w:r w:rsidRPr="00DA5199">
        <w:rPr>
          <w:rFonts w:ascii="Arial" w:hAnsi="Arial" w:cs="Arial"/>
          <w:i/>
          <w:sz w:val="22"/>
          <w:szCs w:val="22"/>
        </w:rPr>
        <w:t xml:space="preserve"> </w:t>
      </w:r>
      <w:r w:rsidRPr="00DA5199">
        <w:rPr>
          <w:rFonts w:ascii="Arial" w:hAnsi="Arial" w:cs="Arial"/>
          <w:sz w:val="22"/>
          <w:szCs w:val="22"/>
        </w:rPr>
        <w:t xml:space="preserve">around questions that expand </w:t>
      </w:r>
      <w:r w:rsidRPr="00DA5199">
        <w:rPr>
          <w:rFonts w:ascii="Arial" w:hAnsi="Arial" w:cs="Arial"/>
          <w:i/>
          <w:sz w:val="22"/>
          <w:szCs w:val="22"/>
        </w:rPr>
        <w:t>learning</w:t>
      </w:r>
      <w:r w:rsidRPr="00DA5199">
        <w:rPr>
          <w:rFonts w:ascii="Arial" w:hAnsi="Arial" w:cs="Arial"/>
          <w:sz w:val="22"/>
          <w:szCs w:val="22"/>
        </w:rPr>
        <w:t xml:space="preserve"> which lead to improved teacher and administrator practice, thereby contributing to higher achievement for all students.  PLCs create cultures that focus on improving the learning of adults and students. “Norms” of collaborative behaviors are created and honored that allow team members to decide what will be discussed, the manner in which it will be discussed, and the openness with which they offer and absorb various perspectives.  PLCs are at the heart of collaborative teacher practice.</w:t>
      </w:r>
    </w:p>
    <w:p w14:paraId="5DB97866" w14:textId="77777777" w:rsidR="00942743" w:rsidRPr="00DA5199" w:rsidRDefault="00942743" w:rsidP="002D1168">
      <w:pPr>
        <w:pStyle w:val="MediumGrid1-Accent21"/>
        <w:spacing w:line="276" w:lineRule="auto"/>
        <w:ind w:left="0"/>
        <w:rPr>
          <w:rFonts w:ascii="Arial" w:hAnsi="Arial" w:cs="Arial"/>
          <w:sz w:val="22"/>
          <w:szCs w:val="22"/>
        </w:rPr>
      </w:pPr>
    </w:p>
    <w:p w14:paraId="3AAC2A61" w14:textId="77777777" w:rsidR="00BE7BA6" w:rsidRDefault="00942743" w:rsidP="00BE7BA6">
      <w:pPr>
        <w:pStyle w:val="MediumGrid1-Accent21"/>
        <w:spacing w:after="80" w:line="276" w:lineRule="auto"/>
        <w:ind w:left="0"/>
        <w:rPr>
          <w:rFonts w:ascii="Arial" w:hAnsi="Arial" w:cs="Arial"/>
          <w:b/>
          <w:sz w:val="22"/>
          <w:szCs w:val="22"/>
        </w:rPr>
      </w:pPr>
      <w:r w:rsidRPr="00DA5199">
        <w:rPr>
          <w:rFonts w:ascii="Arial" w:hAnsi="Arial" w:cs="Arial"/>
          <w:sz w:val="22"/>
          <w:szCs w:val="22"/>
        </w:rPr>
        <w:t>Forming PLCs can be hard work, but the Modules and resources within this website will equip you and your team to begin the process.</w:t>
      </w:r>
      <w:r w:rsidR="00BE7BA6" w:rsidRPr="00DA5199">
        <w:rPr>
          <w:rFonts w:ascii="Arial" w:hAnsi="Arial" w:cs="Arial"/>
          <w:b/>
          <w:sz w:val="22"/>
          <w:szCs w:val="22"/>
        </w:rPr>
        <w:t xml:space="preserve"> </w:t>
      </w:r>
    </w:p>
    <w:p w14:paraId="30B2D1F2" w14:textId="79E29B2F" w:rsidR="00B81293" w:rsidRPr="00BE7BA6" w:rsidRDefault="00942743" w:rsidP="00BE7BA6">
      <w:pPr>
        <w:pStyle w:val="MediumGrid1-Accent21"/>
        <w:numPr>
          <w:ilvl w:val="0"/>
          <w:numId w:val="4"/>
        </w:numPr>
        <w:spacing w:line="276" w:lineRule="auto"/>
        <w:rPr>
          <w:rFonts w:ascii="Arial" w:hAnsi="Arial" w:cs="Arial"/>
          <w:b/>
          <w:sz w:val="22"/>
          <w:szCs w:val="22"/>
        </w:rPr>
      </w:pPr>
      <w:r w:rsidRPr="00DA5199">
        <w:rPr>
          <w:rFonts w:ascii="Arial" w:hAnsi="Arial" w:cs="Arial"/>
          <w:b/>
          <w:sz w:val="22"/>
          <w:szCs w:val="22"/>
        </w:rPr>
        <w:t>Module One</w:t>
      </w:r>
      <w:r w:rsidRPr="00BE7BA6">
        <w:rPr>
          <w:rFonts w:ascii="Arial" w:hAnsi="Arial" w:cs="Arial"/>
          <w:b/>
          <w:sz w:val="22"/>
          <w:szCs w:val="22"/>
        </w:rPr>
        <w:t xml:space="preserve"> is intended for a small group of interested staff members to explore the characteristics of PLCs and how PLCs will benef</w:t>
      </w:r>
      <w:r w:rsidR="00B81293" w:rsidRPr="00BE7BA6">
        <w:rPr>
          <w:rFonts w:ascii="Arial" w:hAnsi="Arial" w:cs="Arial"/>
          <w:b/>
          <w:sz w:val="22"/>
          <w:szCs w:val="22"/>
        </w:rPr>
        <w:t>it adult and student learning.</w:t>
      </w:r>
    </w:p>
    <w:p w14:paraId="572D0A27" w14:textId="77777777" w:rsidR="00B81293" w:rsidRPr="00DA5199" w:rsidRDefault="00942743" w:rsidP="00B81293">
      <w:pPr>
        <w:pStyle w:val="MediumGrid1-Accent21"/>
        <w:numPr>
          <w:ilvl w:val="0"/>
          <w:numId w:val="4"/>
        </w:numPr>
        <w:spacing w:line="276" w:lineRule="auto"/>
        <w:rPr>
          <w:rFonts w:ascii="Arial" w:hAnsi="Arial" w:cs="Arial"/>
          <w:sz w:val="22"/>
          <w:szCs w:val="22"/>
        </w:rPr>
      </w:pPr>
      <w:r w:rsidRPr="00DA5199">
        <w:rPr>
          <w:rFonts w:ascii="Arial" w:hAnsi="Arial" w:cs="Arial"/>
          <w:b/>
          <w:sz w:val="22"/>
          <w:szCs w:val="22"/>
        </w:rPr>
        <w:t>Module Two</w:t>
      </w:r>
      <w:r w:rsidRPr="00DA5199">
        <w:rPr>
          <w:rFonts w:ascii="Arial" w:hAnsi="Arial" w:cs="Arial"/>
          <w:sz w:val="22"/>
          <w:szCs w:val="22"/>
        </w:rPr>
        <w:t xml:space="preserve"> builds on </w:t>
      </w:r>
      <w:r w:rsidR="00B81293" w:rsidRPr="00DA5199">
        <w:rPr>
          <w:rFonts w:ascii="Arial" w:hAnsi="Arial" w:cs="Arial"/>
          <w:sz w:val="22"/>
          <w:szCs w:val="22"/>
        </w:rPr>
        <w:t>the understanding gained in Module One</w:t>
      </w:r>
      <w:r w:rsidRPr="00DA5199">
        <w:rPr>
          <w:rFonts w:ascii="Arial" w:hAnsi="Arial" w:cs="Arial"/>
          <w:sz w:val="22"/>
          <w:szCs w:val="22"/>
        </w:rPr>
        <w:t xml:space="preserve"> in order for your group to understand </w:t>
      </w:r>
      <w:r w:rsidR="00B81293" w:rsidRPr="00DA5199">
        <w:rPr>
          <w:rFonts w:ascii="Arial" w:hAnsi="Arial" w:cs="Arial"/>
          <w:sz w:val="22"/>
          <w:szCs w:val="22"/>
        </w:rPr>
        <w:t>the</w:t>
      </w:r>
      <w:r w:rsidRPr="00DA5199">
        <w:rPr>
          <w:rFonts w:ascii="Arial" w:hAnsi="Arial" w:cs="Arial"/>
          <w:sz w:val="22"/>
          <w:szCs w:val="22"/>
        </w:rPr>
        <w:t xml:space="preserve"> structures and elements of school culture </w:t>
      </w:r>
      <w:r w:rsidR="00B81293" w:rsidRPr="00DA5199">
        <w:rPr>
          <w:rFonts w:ascii="Arial" w:hAnsi="Arial" w:cs="Arial"/>
          <w:sz w:val="22"/>
          <w:szCs w:val="22"/>
        </w:rPr>
        <w:t>most critical to PLC success.</w:t>
      </w:r>
    </w:p>
    <w:p w14:paraId="75EB60D1" w14:textId="77777777" w:rsidR="00B81293" w:rsidRPr="00DA5199" w:rsidRDefault="00942743" w:rsidP="00B81293">
      <w:pPr>
        <w:pStyle w:val="MediumGrid1-Accent21"/>
        <w:numPr>
          <w:ilvl w:val="0"/>
          <w:numId w:val="4"/>
        </w:numPr>
        <w:spacing w:line="276" w:lineRule="auto"/>
        <w:rPr>
          <w:rFonts w:ascii="Arial" w:hAnsi="Arial" w:cs="Arial"/>
          <w:sz w:val="22"/>
          <w:szCs w:val="22"/>
        </w:rPr>
      </w:pPr>
      <w:r w:rsidRPr="00DA5199">
        <w:rPr>
          <w:rFonts w:ascii="Arial" w:hAnsi="Arial" w:cs="Arial"/>
          <w:sz w:val="22"/>
          <w:szCs w:val="22"/>
        </w:rPr>
        <w:t xml:space="preserve">In </w:t>
      </w:r>
      <w:r w:rsidRPr="00DA5199">
        <w:rPr>
          <w:rFonts w:ascii="Arial" w:hAnsi="Arial" w:cs="Arial"/>
          <w:b/>
          <w:sz w:val="22"/>
          <w:szCs w:val="22"/>
        </w:rPr>
        <w:t>Module Three</w:t>
      </w:r>
      <w:r w:rsidR="00B81293" w:rsidRPr="00DA5199">
        <w:rPr>
          <w:rFonts w:ascii="Arial" w:hAnsi="Arial" w:cs="Arial"/>
          <w:sz w:val="22"/>
          <w:szCs w:val="22"/>
        </w:rPr>
        <w:t>, groups</w:t>
      </w:r>
      <w:r w:rsidRPr="00DA5199">
        <w:rPr>
          <w:rFonts w:ascii="Arial" w:hAnsi="Arial" w:cs="Arial"/>
          <w:sz w:val="22"/>
          <w:szCs w:val="22"/>
        </w:rPr>
        <w:t xml:space="preserve"> will dive deeper into the </w:t>
      </w:r>
      <w:r w:rsidR="00B81293" w:rsidRPr="00DA5199">
        <w:rPr>
          <w:rFonts w:ascii="Arial" w:hAnsi="Arial" w:cs="Arial"/>
          <w:sz w:val="22"/>
          <w:szCs w:val="22"/>
        </w:rPr>
        <w:t xml:space="preserve">core </w:t>
      </w:r>
      <w:r w:rsidRPr="00DA5199">
        <w:rPr>
          <w:rFonts w:ascii="Arial" w:hAnsi="Arial" w:cs="Arial"/>
          <w:sz w:val="22"/>
          <w:szCs w:val="22"/>
        </w:rPr>
        <w:t>work of establishin</w:t>
      </w:r>
      <w:r w:rsidR="00B81293" w:rsidRPr="00DA5199">
        <w:rPr>
          <w:rFonts w:ascii="Arial" w:hAnsi="Arial" w:cs="Arial"/>
          <w:sz w:val="22"/>
          <w:szCs w:val="22"/>
        </w:rPr>
        <w:t xml:space="preserve">g and supporting strong teams. </w:t>
      </w:r>
    </w:p>
    <w:p w14:paraId="61EE2C48" w14:textId="4B1DD9AC" w:rsidR="00B81293" w:rsidRPr="00DA5199" w:rsidRDefault="00942743" w:rsidP="00B81293">
      <w:pPr>
        <w:pStyle w:val="MediumGrid1-Accent21"/>
        <w:numPr>
          <w:ilvl w:val="0"/>
          <w:numId w:val="4"/>
        </w:numPr>
        <w:spacing w:line="276" w:lineRule="auto"/>
        <w:rPr>
          <w:rFonts w:ascii="Arial" w:hAnsi="Arial" w:cs="Arial"/>
          <w:sz w:val="22"/>
          <w:szCs w:val="22"/>
        </w:rPr>
      </w:pPr>
      <w:r w:rsidRPr="00DA5199">
        <w:rPr>
          <w:rFonts w:ascii="Arial" w:hAnsi="Arial" w:cs="Arial"/>
          <w:b/>
          <w:sz w:val="22"/>
          <w:szCs w:val="22"/>
        </w:rPr>
        <w:t>Module Four</w:t>
      </w:r>
      <w:r w:rsidRPr="00DA5199">
        <w:rPr>
          <w:rFonts w:ascii="Arial" w:hAnsi="Arial" w:cs="Arial"/>
          <w:sz w:val="22"/>
          <w:szCs w:val="22"/>
        </w:rPr>
        <w:t xml:space="preserve"> introduces some of the substantive work of PLCs, including protocols for Loo</w:t>
      </w:r>
      <w:r w:rsidR="00A52F12" w:rsidRPr="00DA5199">
        <w:rPr>
          <w:rFonts w:ascii="Arial" w:hAnsi="Arial" w:cs="Arial"/>
          <w:sz w:val="22"/>
          <w:szCs w:val="22"/>
        </w:rPr>
        <w:t xml:space="preserve">king at Student Work (LASW), Peer Observations, and other data-related practices. </w:t>
      </w:r>
    </w:p>
    <w:p w14:paraId="0925B7D3" w14:textId="77777777" w:rsidR="00FC0B06" w:rsidRPr="00DA5199" w:rsidRDefault="00942743" w:rsidP="00FC0B06">
      <w:pPr>
        <w:pStyle w:val="MediumGrid1-Accent21"/>
        <w:numPr>
          <w:ilvl w:val="0"/>
          <w:numId w:val="4"/>
        </w:numPr>
        <w:spacing w:line="276" w:lineRule="auto"/>
        <w:rPr>
          <w:rFonts w:ascii="Arial" w:hAnsi="Arial" w:cs="Arial"/>
          <w:sz w:val="22"/>
          <w:szCs w:val="22"/>
        </w:rPr>
      </w:pPr>
      <w:r w:rsidRPr="00DA5199">
        <w:rPr>
          <w:rFonts w:ascii="Arial" w:hAnsi="Arial" w:cs="Arial"/>
          <w:sz w:val="22"/>
          <w:szCs w:val="22"/>
        </w:rPr>
        <w:t xml:space="preserve">Finally, </w:t>
      </w:r>
      <w:r w:rsidRPr="00DA5199">
        <w:rPr>
          <w:rFonts w:ascii="Arial" w:hAnsi="Arial" w:cs="Arial"/>
          <w:b/>
          <w:sz w:val="22"/>
          <w:szCs w:val="22"/>
        </w:rPr>
        <w:t>Module Five</w:t>
      </w:r>
      <w:r w:rsidRPr="00DA5199">
        <w:rPr>
          <w:rFonts w:ascii="Arial" w:hAnsi="Arial" w:cs="Arial"/>
          <w:sz w:val="22"/>
          <w:szCs w:val="22"/>
        </w:rPr>
        <w:t xml:space="preserve"> </w:t>
      </w:r>
      <w:r w:rsidR="00B81293" w:rsidRPr="00DA5199">
        <w:rPr>
          <w:rFonts w:ascii="Arial" w:hAnsi="Arial" w:cs="Arial"/>
          <w:sz w:val="22"/>
          <w:szCs w:val="22"/>
        </w:rPr>
        <w:t xml:space="preserve">will guide district level teams through the work of creating PLCs. </w:t>
      </w:r>
    </w:p>
    <w:p w14:paraId="0709E230" w14:textId="77777777" w:rsidR="00FC0B06" w:rsidRPr="00DA5199" w:rsidRDefault="00FC0B06" w:rsidP="00FC0B06">
      <w:pPr>
        <w:pStyle w:val="MediumGrid1-Accent21"/>
        <w:spacing w:line="276" w:lineRule="auto"/>
        <w:ind w:left="0"/>
        <w:rPr>
          <w:rFonts w:ascii="Arial" w:hAnsi="Arial" w:cs="Arial"/>
          <w:sz w:val="22"/>
          <w:szCs w:val="22"/>
        </w:rPr>
      </w:pPr>
    </w:p>
    <w:p w14:paraId="2136F852" w14:textId="77777777" w:rsidR="00942743" w:rsidRPr="00DA5199" w:rsidRDefault="00FC0B06" w:rsidP="00FC0B06">
      <w:pPr>
        <w:pStyle w:val="MediumGrid1-Accent21"/>
        <w:spacing w:line="276" w:lineRule="auto"/>
        <w:ind w:left="0"/>
        <w:rPr>
          <w:rFonts w:ascii="Tahoma" w:eastAsiaTheme="minorEastAsia" w:hAnsi="Tahoma" w:cs="Tahoma"/>
          <w:color w:val="737373"/>
          <w:sz w:val="22"/>
          <w:szCs w:val="22"/>
          <w:lang w:eastAsia="en-US"/>
        </w:rPr>
      </w:pPr>
      <w:r w:rsidRPr="00DA5199">
        <w:rPr>
          <w:rFonts w:ascii="Arial" w:hAnsi="Arial" w:cs="Arial"/>
          <w:sz w:val="22"/>
          <w:szCs w:val="22"/>
        </w:rPr>
        <w:t xml:space="preserve">As you work through the Modules, remember that there is no set time frame for how long it will take your group to implement each Module or for the work that will need to be completed in between.  The Modules should illustrate an arc of PLC formation and provide many of the resources that will support your efforts along the way.  </w:t>
      </w:r>
    </w:p>
    <w:sectPr w:rsidR="00942743" w:rsidRPr="00DA5199" w:rsidSect="00CC449F">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5F682" w14:textId="77777777" w:rsidR="002F0714" w:rsidRDefault="002F0714" w:rsidP="009E33C5">
      <w:r>
        <w:separator/>
      </w:r>
    </w:p>
  </w:endnote>
  <w:endnote w:type="continuationSeparator" w:id="0">
    <w:p w14:paraId="76B5F0F3" w14:textId="77777777" w:rsidR="002F0714" w:rsidRDefault="002F0714" w:rsidP="009E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AC2BF" w14:textId="3BA7E334" w:rsidR="00DC7270" w:rsidRPr="00A502DB" w:rsidRDefault="00DC7270" w:rsidP="00DC7270">
    <w:pPr>
      <w:pStyle w:val="Header"/>
      <w:rPr>
        <w:rFonts w:ascii="Arial" w:hAnsi="Arial" w:cs="Arial"/>
        <w:sz w:val="18"/>
        <w:szCs w:val="18"/>
      </w:rPr>
    </w:pPr>
    <w:r>
      <w:rPr>
        <w:rFonts w:ascii="Arial" w:hAnsi="Arial" w:cs="Arial"/>
        <w:sz w:val="18"/>
        <w:szCs w:val="18"/>
      </w:rPr>
      <w:t>DSAC/ESE PLC Guide –</w:t>
    </w:r>
    <w:r w:rsidRPr="00A502DB">
      <w:rPr>
        <w:rFonts w:ascii="Arial" w:hAnsi="Arial" w:cs="Arial"/>
        <w:sz w:val="18"/>
        <w:szCs w:val="18"/>
      </w:rPr>
      <w:t xml:space="preserve"> </w:t>
    </w:r>
    <w:r>
      <w:rPr>
        <w:rFonts w:ascii="Arial" w:hAnsi="Arial" w:cs="Arial"/>
        <w:sz w:val="18"/>
        <w:szCs w:val="18"/>
      </w:rPr>
      <w:t>Introduction</w:t>
    </w:r>
  </w:p>
  <w:p w14:paraId="73059ED8" w14:textId="77777777" w:rsidR="00DC7270" w:rsidRDefault="00DC7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2D18A" w14:textId="77777777" w:rsidR="002F0714" w:rsidRDefault="002F0714" w:rsidP="009E33C5">
      <w:r>
        <w:separator/>
      </w:r>
    </w:p>
  </w:footnote>
  <w:footnote w:type="continuationSeparator" w:id="0">
    <w:p w14:paraId="28FD92BF" w14:textId="77777777" w:rsidR="002F0714" w:rsidRDefault="002F0714" w:rsidP="009E3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D7EAE"/>
    <w:multiLevelType w:val="hybridMultilevel"/>
    <w:tmpl w:val="6632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06D2A"/>
    <w:multiLevelType w:val="hybridMultilevel"/>
    <w:tmpl w:val="7382A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68"/>
    <w:rsid w:val="00185B78"/>
    <w:rsid w:val="002D1168"/>
    <w:rsid w:val="002F0714"/>
    <w:rsid w:val="00385121"/>
    <w:rsid w:val="00942743"/>
    <w:rsid w:val="009D13D4"/>
    <w:rsid w:val="009E33C5"/>
    <w:rsid w:val="00A52F12"/>
    <w:rsid w:val="00B81293"/>
    <w:rsid w:val="00BE210E"/>
    <w:rsid w:val="00BE7BA6"/>
    <w:rsid w:val="00CC449F"/>
    <w:rsid w:val="00DA5199"/>
    <w:rsid w:val="00DC7270"/>
    <w:rsid w:val="00FC0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A07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68"/>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D1168"/>
    <w:pPr>
      <w:ind w:left="720"/>
      <w:contextualSpacing/>
    </w:pPr>
  </w:style>
  <w:style w:type="paragraph" w:styleId="NormalWeb">
    <w:name w:val="Normal (Web)"/>
    <w:basedOn w:val="Normal"/>
    <w:uiPriority w:val="99"/>
    <w:semiHidden/>
    <w:unhideWhenUsed/>
    <w:rsid w:val="002D1168"/>
    <w:pPr>
      <w:spacing w:before="100" w:beforeAutospacing="1" w:after="100" w:afterAutospacing="1"/>
    </w:pPr>
    <w:rPr>
      <w:rFonts w:ascii="Times New Roman" w:hAnsi="Times New Roman"/>
      <w:lang w:eastAsia="en-US"/>
    </w:rPr>
  </w:style>
  <w:style w:type="paragraph" w:customStyle="1" w:styleId="ColorfulList-Accent11">
    <w:name w:val="Colorful List - Accent 11"/>
    <w:basedOn w:val="Normal"/>
    <w:link w:val="ColorfulList-Accent1Char"/>
    <w:qFormat/>
    <w:rsid w:val="002D1168"/>
    <w:pPr>
      <w:spacing w:after="200" w:line="264" w:lineRule="auto"/>
      <w:ind w:left="720"/>
      <w:contextualSpacing/>
    </w:pPr>
    <w:rPr>
      <w:rFonts w:ascii="Times New Roman" w:eastAsia="Times New Roman" w:hAnsi="Times New Roman"/>
      <w:szCs w:val="22"/>
      <w:lang w:eastAsia="en-US"/>
    </w:rPr>
  </w:style>
  <w:style w:type="character" w:customStyle="1" w:styleId="ColorfulList-Accent1Char">
    <w:name w:val="Colorful List - Accent 1 Char"/>
    <w:link w:val="ColorfulList-Accent11"/>
    <w:rsid w:val="002D1168"/>
    <w:rPr>
      <w:rFonts w:ascii="Times New Roman" w:eastAsia="Times New Roman" w:hAnsi="Times New Roman" w:cs="Times New Roman"/>
      <w:szCs w:val="22"/>
    </w:rPr>
  </w:style>
  <w:style w:type="paragraph" w:styleId="Header">
    <w:name w:val="header"/>
    <w:basedOn w:val="Normal"/>
    <w:link w:val="HeaderChar"/>
    <w:uiPriority w:val="99"/>
    <w:unhideWhenUsed/>
    <w:rsid w:val="009E33C5"/>
    <w:pPr>
      <w:tabs>
        <w:tab w:val="center" w:pos="4680"/>
        <w:tab w:val="right" w:pos="9360"/>
      </w:tabs>
    </w:pPr>
  </w:style>
  <w:style w:type="character" w:customStyle="1" w:styleId="HeaderChar">
    <w:name w:val="Header Char"/>
    <w:basedOn w:val="DefaultParagraphFont"/>
    <w:link w:val="Header"/>
    <w:uiPriority w:val="99"/>
    <w:rsid w:val="009E33C5"/>
    <w:rPr>
      <w:rFonts w:ascii="Cambria" w:eastAsia="MS Mincho" w:hAnsi="Cambria" w:cs="Times New Roman"/>
      <w:lang w:eastAsia="ja-JP"/>
    </w:rPr>
  </w:style>
  <w:style w:type="paragraph" w:styleId="Footer">
    <w:name w:val="footer"/>
    <w:basedOn w:val="Normal"/>
    <w:link w:val="FooterChar"/>
    <w:uiPriority w:val="99"/>
    <w:unhideWhenUsed/>
    <w:rsid w:val="009E33C5"/>
    <w:pPr>
      <w:tabs>
        <w:tab w:val="center" w:pos="4680"/>
        <w:tab w:val="right" w:pos="9360"/>
      </w:tabs>
    </w:pPr>
  </w:style>
  <w:style w:type="character" w:customStyle="1" w:styleId="FooterChar">
    <w:name w:val="Footer Char"/>
    <w:basedOn w:val="DefaultParagraphFont"/>
    <w:link w:val="Footer"/>
    <w:uiPriority w:val="99"/>
    <w:rsid w:val="009E33C5"/>
    <w:rPr>
      <w:rFonts w:ascii="Cambria" w:eastAsia="MS Mincho" w:hAnsi="Cambria" w:cs="Times New Roman"/>
      <w:lang w:eastAsia="ja-JP"/>
    </w:rPr>
  </w:style>
  <w:style w:type="paragraph" w:styleId="BalloonText">
    <w:name w:val="Balloon Text"/>
    <w:basedOn w:val="Normal"/>
    <w:link w:val="BalloonTextChar"/>
    <w:uiPriority w:val="99"/>
    <w:semiHidden/>
    <w:unhideWhenUsed/>
    <w:rsid w:val="009E33C5"/>
    <w:rPr>
      <w:rFonts w:ascii="Tahoma" w:hAnsi="Tahoma" w:cs="Tahoma"/>
      <w:sz w:val="16"/>
      <w:szCs w:val="16"/>
    </w:rPr>
  </w:style>
  <w:style w:type="character" w:customStyle="1" w:styleId="BalloonTextChar">
    <w:name w:val="Balloon Text Char"/>
    <w:basedOn w:val="DefaultParagraphFont"/>
    <w:link w:val="BalloonText"/>
    <w:uiPriority w:val="99"/>
    <w:semiHidden/>
    <w:rsid w:val="009E33C5"/>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68"/>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D1168"/>
    <w:pPr>
      <w:ind w:left="720"/>
      <w:contextualSpacing/>
    </w:pPr>
  </w:style>
  <w:style w:type="paragraph" w:styleId="NormalWeb">
    <w:name w:val="Normal (Web)"/>
    <w:basedOn w:val="Normal"/>
    <w:uiPriority w:val="99"/>
    <w:semiHidden/>
    <w:unhideWhenUsed/>
    <w:rsid w:val="002D1168"/>
    <w:pPr>
      <w:spacing w:before="100" w:beforeAutospacing="1" w:after="100" w:afterAutospacing="1"/>
    </w:pPr>
    <w:rPr>
      <w:rFonts w:ascii="Times New Roman" w:hAnsi="Times New Roman"/>
      <w:lang w:eastAsia="en-US"/>
    </w:rPr>
  </w:style>
  <w:style w:type="paragraph" w:customStyle="1" w:styleId="ColorfulList-Accent11">
    <w:name w:val="Colorful List - Accent 11"/>
    <w:basedOn w:val="Normal"/>
    <w:link w:val="ColorfulList-Accent1Char"/>
    <w:qFormat/>
    <w:rsid w:val="002D1168"/>
    <w:pPr>
      <w:spacing w:after="200" w:line="264" w:lineRule="auto"/>
      <w:ind w:left="720"/>
      <w:contextualSpacing/>
    </w:pPr>
    <w:rPr>
      <w:rFonts w:ascii="Times New Roman" w:eastAsia="Times New Roman" w:hAnsi="Times New Roman"/>
      <w:szCs w:val="22"/>
      <w:lang w:eastAsia="en-US"/>
    </w:rPr>
  </w:style>
  <w:style w:type="character" w:customStyle="1" w:styleId="ColorfulList-Accent1Char">
    <w:name w:val="Colorful List - Accent 1 Char"/>
    <w:link w:val="ColorfulList-Accent11"/>
    <w:rsid w:val="002D1168"/>
    <w:rPr>
      <w:rFonts w:ascii="Times New Roman" w:eastAsia="Times New Roman" w:hAnsi="Times New Roman" w:cs="Times New Roman"/>
      <w:szCs w:val="22"/>
    </w:rPr>
  </w:style>
  <w:style w:type="paragraph" w:styleId="Header">
    <w:name w:val="header"/>
    <w:basedOn w:val="Normal"/>
    <w:link w:val="HeaderChar"/>
    <w:uiPriority w:val="99"/>
    <w:unhideWhenUsed/>
    <w:rsid w:val="009E33C5"/>
    <w:pPr>
      <w:tabs>
        <w:tab w:val="center" w:pos="4680"/>
        <w:tab w:val="right" w:pos="9360"/>
      </w:tabs>
    </w:pPr>
  </w:style>
  <w:style w:type="character" w:customStyle="1" w:styleId="HeaderChar">
    <w:name w:val="Header Char"/>
    <w:basedOn w:val="DefaultParagraphFont"/>
    <w:link w:val="Header"/>
    <w:uiPriority w:val="99"/>
    <w:rsid w:val="009E33C5"/>
    <w:rPr>
      <w:rFonts w:ascii="Cambria" w:eastAsia="MS Mincho" w:hAnsi="Cambria" w:cs="Times New Roman"/>
      <w:lang w:eastAsia="ja-JP"/>
    </w:rPr>
  </w:style>
  <w:style w:type="paragraph" w:styleId="Footer">
    <w:name w:val="footer"/>
    <w:basedOn w:val="Normal"/>
    <w:link w:val="FooterChar"/>
    <w:uiPriority w:val="99"/>
    <w:unhideWhenUsed/>
    <w:rsid w:val="009E33C5"/>
    <w:pPr>
      <w:tabs>
        <w:tab w:val="center" w:pos="4680"/>
        <w:tab w:val="right" w:pos="9360"/>
      </w:tabs>
    </w:pPr>
  </w:style>
  <w:style w:type="character" w:customStyle="1" w:styleId="FooterChar">
    <w:name w:val="Footer Char"/>
    <w:basedOn w:val="DefaultParagraphFont"/>
    <w:link w:val="Footer"/>
    <w:uiPriority w:val="99"/>
    <w:rsid w:val="009E33C5"/>
    <w:rPr>
      <w:rFonts w:ascii="Cambria" w:eastAsia="MS Mincho" w:hAnsi="Cambria" w:cs="Times New Roman"/>
      <w:lang w:eastAsia="ja-JP"/>
    </w:rPr>
  </w:style>
  <w:style w:type="paragraph" w:styleId="BalloonText">
    <w:name w:val="Balloon Text"/>
    <w:basedOn w:val="Normal"/>
    <w:link w:val="BalloonTextChar"/>
    <w:uiPriority w:val="99"/>
    <w:semiHidden/>
    <w:unhideWhenUsed/>
    <w:rsid w:val="009E33C5"/>
    <w:rPr>
      <w:rFonts w:ascii="Tahoma" w:hAnsi="Tahoma" w:cs="Tahoma"/>
      <w:sz w:val="16"/>
      <w:szCs w:val="16"/>
    </w:rPr>
  </w:style>
  <w:style w:type="character" w:customStyle="1" w:styleId="BalloonTextChar">
    <w:name w:val="Balloon Text Char"/>
    <w:basedOn w:val="DefaultParagraphFont"/>
    <w:link w:val="BalloonText"/>
    <w:uiPriority w:val="99"/>
    <w:semiHidden/>
    <w:rsid w:val="009E33C5"/>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CCE</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Welltrintern</dc:creator>
  <cp:lastModifiedBy>Richy</cp:lastModifiedBy>
  <cp:revision>5</cp:revision>
  <dcterms:created xsi:type="dcterms:W3CDTF">2014-06-03T15:11:00Z</dcterms:created>
  <dcterms:modified xsi:type="dcterms:W3CDTF">2015-05-27T13:39:00Z</dcterms:modified>
</cp:coreProperties>
</file>